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D87EC">
      <w:pPr>
        <w:spacing w:line="298" w:lineRule="auto"/>
        <w:jc w:val="center"/>
        <w:rPr>
          <w:rFonts w:hint="eastAsia" w:ascii="宋体" w:hAnsi="宋体" w:cs="Arial"/>
          <w:b/>
          <w:sz w:val="32"/>
          <w:szCs w:val="32"/>
        </w:rPr>
      </w:pPr>
      <w:bookmarkStart w:id="0" w:name="_GoBack"/>
      <w:bookmarkEnd w:id="0"/>
    </w:p>
    <w:p w14:paraId="5FB77B82">
      <w:pPr>
        <w:spacing w:line="298" w:lineRule="auto"/>
        <w:jc w:val="center"/>
        <w:rPr>
          <w:rFonts w:hint="eastAsia" w:ascii="宋体" w:hAnsi="宋体" w:cs="Arial"/>
          <w:b/>
          <w:sz w:val="32"/>
          <w:szCs w:val="32"/>
        </w:rPr>
      </w:pPr>
      <w:r>
        <w:rPr>
          <w:rFonts w:hint="eastAsia" w:ascii="宋体" w:hAnsi="宋体" w:cs="Arial"/>
          <w:b/>
          <w:sz w:val="32"/>
          <w:szCs w:val="32"/>
        </w:rPr>
        <w:t>永兴特种材料科技股份有限公司</w:t>
      </w:r>
    </w:p>
    <w:p w14:paraId="4CFF11A7">
      <w:pPr>
        <w:spacing w:line="298" w:lineRule="auto"/>
        <w:jc w:val="center"/>
        <w:rPr>
          <w:rFonts w:hint="eastAsia" w:ascii="宋体" w:hAnsi="宋体" w:cs="Arial"/>
          <w:b/>
          <w:sz w:val="32"/>
          <w:szCs w:val="32"/>
        </w:rPr>
      </w:pPr>
      <w:r>
        <w:rPr>
          <w:rFonts w:hint="eastAsia" w:ascii="宋体" w:hAnsi="宋体" w:cs="Arial"/>
          <w:b/>
          <w:sz w:val="32"/>
          <w:szCs w:val="32"/>
        </w:rPr>
        <w:t>对外提供财务资助管理制度</w:t>
      </w:r>
    </w:p>
    <w:p w14:paraId="4AAEAC1A">
      <w:pPr>
        <w:spacing w:line="298" w:lineRule="auto"/>
        <w:jc w:val="center"/>
        <w:rPr>
          <w:rFonts w:hint="eastAsia" w:ascii="黑体" w:hAnsi="Arial" w:eastAsia="黑体" w:cs="Arial"/>
          <w:b/>
          <w:sz w:val="30"/>
          <w:szCs w:val="30"/>
        </w:rPr>
      </w:pPr>
    </w:p>
    <w:p w14:paraId="3A961DB2">
      <w:pPr>
        <w:numPr>
          <w:ilvl w:val="0"/>
          <w:numId w:val="1"/>
        </w:numPr>
        <w:tabs>
          <w:tab w:val="left" w:pos="1080"/>
          <w:tab w:val="clear" w:pos="4260"/>
        </w:tabs>
        <w:spacing w:line="298" w:lineRule="auto"/>
        <w:ind w:left="0" w:firstLine="0"/>
        <w:jc w:val="center"/>
        <w:rPr>
          <w:rFonts w:hint="eastAsia" w:ascii="宋体" w:hAnsi="宋体" w:cs="Arial"/>
          <w:b/>
          <w:sz w:val="24"/>
        </w:rPr>
      </w:pPr>
      <w:r>
        <w:rPr>
          <w:rFonts w:hint="eastAsia" w:ascii="宋体" w:hAnsi="宋体" w:cs="Arial"/>
          <w:b/>
          <w:sz w:val="24"/>
        </w:rPr>
        <w:t>总  则</w:t>
      </w:r>
    </w:p>
    <w:p w14:paraId="1CEC15CA">
      <w:pPr>
        <w:tabs>
          <w:tab w:val="left" w:pos="1440"/>
          <w:tab w:val="left" w:pos="1980"/>
        </w:tabs>
        <w:spacing w:line="298" w:lineRule="auto"/>
        <w:rPr>
          <w:rFonts w:hint="eastAsia" w:ascii="宋体" w:hAnsi="宋体" w:cs="Arial"/>
          <w:b/>
          <w:sz w:val="24"/>
        </w:rPr>
      </w:pPr>
    </w:p>
    <w:p w14:paraId="170D06B9">
      <w:pPr>
        <w:numPr>
          <w:ilvl w:val="1"/>
          <w:numId w:val="2"/>
        </w:numPr>
        <w:tabs>
          <w:tab w:val="left" w:pos="1440"/>
          <w:tab w:val="left" w:pos="1980"/>
          <w:tab w:val="clear" w:pos="816"/>
        </w:tabs>
        <w:spacing w:line="298" w:lineRule="auto"/>
        <w:ind w:left="1440" w:hanging="1440"/>
        <w:rPr>
          <w:sz w:val="24"/>
        </w:rPr>
      </w:pPr>
      <w:r>
        <w:rPr>
          <w:rFonts w:ascii="宋体" w:hAnsi="宋体" w:cs="Arial"/>
          <w:sz w:val="24"/>
        </w:rPr>
        <w:t>为</w:t>
      </w:r>
      <w:r>
        <w:rPr>
          <w:rFonts w:hint="eastAsia" w:ascii="宋体" w:hAnsi="宋体" w:cs="Arial"/>
          <w:sz w:val="24"/>
        </w:rPr>
        <w:t>规范永兴特种材料科技股份有限公司</w:t>
      </w:r>
      <w:r>
        <w:rPr>
          <w:rFonts w:ascii="宋体" w:hAnsi="宋体" w:cs="Arial"/>
          <w:sz w:val="24"/>
        </w:rPr>
        <w:t>(下称</w:t>
      </w:r>
      <w:r>
        <w:rPr>
          <w:rFonts w:hint="eastAsia" w:ascii="宋体" w:hAnsi="宋体" w:cs="Arial"/>
          <w:sz w:val="24"/>
        </w:rPr>
        <w:t>“</w:t>
      </w:r>
      <w:r>
        <w:rPr>
          <w:rFonts w:ascii="宋体" w:hAnsi="宋体" w:cs="Arial"/>
          <w:sz w:val="24"/>
        </w:rPr>
        <w:t>公司</w:t>
      </w:r>
      <w:r>
        <w:rPr>
          <w:rFonts w:hint="eastAsia" w:ascii="宋体" w:hAnsi="宋体" w:cs="Arial"/>
          <w:sz w:val="24"/>
        </w:rPr>
        <w:t>”</w:t>
      </w:r>
      <w:r>
        <w:rPr>
          <w:rFonts w:ascii="宋体" w:hAnsi="宋体" w:cs="Arial"/>
          <w:sz w:val="24"/>
        </w:rPr>
        <w:t>)</w:t>
      </w:r>
      <w:r>
        <w:rPr>
          <w:rFonts w:hint="eastAsia" w:ascii="宋体" w:hAnsi="宋体" w:cs="Arial"/>
          <w:sz w:val="24"/>
        </w:rPr>
        <w:t>对外提供财务资助行为，防范财务风险，完善公司治理与内控管理，根据《中华人民共和国公司法》、《中华人民共和国证券法》、《上市公</w:t>
      </w:r>
      <w:r>
        <w:rPr>
          <w:sz w:val="24"/>
        </w:rPr>
        <w:t>司信息披露管理办法》</w:t>
      </w:r>
      <w:r>
        <w:rPr>
          <w:rFonts w:hint="eastAsia"/>
          <w:sz w:val="24"/>
        </w:rPr>
        <w:t>及</w:t>
      </w:r>
      <w:r>
        <w:rPr>
          <w:sz w:val="24"/>
        </w:rPr>
        <w:t>《</w:t>
      </w:r>
      <w:r>
        <w:rPr>
          <w:rFonts w:hint="eastAsia"/>
          <w:sz w:val="24"/>
        </w:rPr>
        <w:t>深圳证券交易所上市公司自律监管指引第1号——主板上市公司规范运作</w:t>
      </w:r>
      <w:r>
        <w:rPr>
          <w:sz w:val="24"/>
        </w:rPr>
        <w:t>》</w:t>
      </w:r>
      <w:r>
        <w:rPr>
          <w:rFonts w:hint="eastAsia"/>
          <w:sz w:val="24"/>
        </w:rPr>
        <w:t>等有关法律、法规、规范性文件以及</w:t>
      </w:r>
      <w:r>
        <w:rPr>
          <w:rFonts w:ascii="宋体" w:hAnsi="宋体" w:cs="Arial"/>
          <w:sz w:val="24"/>
        </w:rPr>
        <w:t>《永兴特种材料科技股份有限公司章程》(以下称“《公司章程》”)</w:t>
      </w:r>
      <w:r>
        <w:rPr>
          <w:rFonts w:hint="eastAsia" w:ascii="宋体" w:hAnsi="宋体" w:cs="Arial"/>
          <w:sz w:val="24"/>
        </w:rPr>
        <w:t>的相关规定，结合公司的实际情况，制定本制度。</w:t>
      </w:r>
    </w:p>
    <w:p w14:paraId="58093177">
      <w:pPr>
        <w:spacing w:line="298" w:lineRule="auto"/>
        <w:rPr>
          <w:sz w:val="24"/>
        </w:rPr>
      </w:pPr>
      <w:r>
        <w:rPr>
          <w:sz w:val="24"/>
        </w:rPr>
        <w:t xml:space="preserve"> </w:t>
      </w:r>
    </w:p>
    <w:p w14:paraId="03D4EBC7">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ascii="宋体" w:hAnsi="宋体" w:cs="Arial"/>
          <w:sz w:val="24"/>
        </w:rPr>
        <w:t>本制度所称</w:t>
      </w:r>
      <w:r>
        <w:rPr>
          <w:rFonts w:hint="eastAsia" w:ascii="宋体" w:hAnsi="宋体" w:cs="Arial"/>
          <w:sz w:val="24"/>
        </w:rPr>
        <w:t>“对外提供财务资助”，是指公司及其控股子公司（含全资子公司）有偿或者无偿对外提供资金、委托贷款等行为，但下列情况除外：</w:t>
      </w:r>
    </w:p>
    <w:p w14:paraId="74A19C33">
      <w:pPr>
        <w:pStyle w:val="19"/>
        <w:ind w:firstLine="480"/>
        <w:rPr>
          <w:rFonts w:hint="eastAsia" w:ascii="宋体" w:hAnsi="宋体" w:cs="Arial"/>
          <w:sz w:val="24"/>
        </w:rPr>
      </w:pPr>
    </w:p>
    <w:p w14:paraId="6CFB9C51">
      <w:pPr>
        <w:numPr>
          <w:ilvl w:val="3"/>
          <w:numId w:val="2"/>
        </w:numPr>
        <w:tabs>
          <w:tab w:val="left" w:pos="2410"/>
          <w:tab w:val="clear" w:pos="1980"/>
        </w:tabs>
        <w:spacing w:line="298" w:lineRule="auto"/>
        <w:ind w:left="2410" w:hanging="992"/>
        <w:rPr>
          <w:rFonts w:hint="eastAsia"/>
          <w:sz w:val="24"/>
        </w:rPr>
      </w:pPr>
      <w:r>
        <w:rPr>
          <w:rFonts w:hint="eastAsia" w:ascii="宋体" w:hAnsi="宋体" w:cs="Arial"/>
          <w:sz w:val="24"/>
        </w:rPr>
        <w:t>提供财务资</w:t>
      </w:r>
      <w:r>
        <w:rPr>
          <w:sz w:val="24"/>
        </w:rPr>
        <w:t>助属于公司的主营业务；</w:t>
      </w:r>
    </w:p>
    <w:p w14:paraId="62AB001C">
      <w:pPr>
        <w:tabs>
          <w:tab w:val="left" w:pos="2410"/>
        </w:tabs>
        <w:spacing w:line="298" w:lineRule="auto"/>
        <w:ind w:left="2410"/>
        <w:rPr>
          <w:sz w:val="24"/>
        </w:rPr>
      </w:pPr>
    </w:p>
    <w:p w14:paraId="242FE7C4">
      <w:pPr>
        <w:numPr>
          <w:ilvl w:val="3"/>
          <w:numId w:val="2"/>
        </w:numPr>
        <w:tabs>
          <w:tab w:val="left" w:pos="2410"/>
          <w:tab w:val="clear" w:pos="1980"/>
        </w:tabs>
        <w:spacing w:line="298" w:lineRule="auto"/>
        <w:ind w:left="2410" w:hanging="992"/>
        <w:rPr>
          <w:sz w:val="24"/>
        </w:rPr>
      </w:pPr>
      <w:r>
        <w:rPr>
          <w:sz w:val="24"/>
        </w:rPr>
        <w:t>资助对象为公司合并报表范围内的、持股比例超过50%的控股子公司</w:t>
      </w:r>
      <w:r>
        <w:rPr>
          <w:rFonts w:hint="eastAsia"/>
          <w:sz w:val="24"/>
        </w:rPr>
        <w:t>，且该控股子公司其他股东中不包含公司的控股股东、实际控制人及其关联人。</w:t>
      </w:r>
    </w:p>
    <w:p w14:paraId="6F6CB2A4">
      <w:pPr>
        <w:numPr>
          <w:ilvl w:val="3"/>
          <w:numId w:val="2"/>
        </w:numPr>
        <w:tabs>
          <w:tab w:val="left" w:pos="2410"/>
          <w:tab w:val="clear" w:pos="1980"/>
        </w:tabs>
        <w:spacing w:line="298" w:lineRule="auto"/>
        <w:ind w:left="2410" w:hanging="992"/>
        <w:rPr>
          <w:sz w:val="24"/>
        </w:rPr>
      </w:pPr>
      <w:r>
        <w:rPr>
          <w:rFonts w:hint="eastAsia"/>
          <w:sz w:val="24"/>
        </w:rPr>
        <w:t>中国证监会或者深圳证券交易所认定的其他情形。</w:t>
      </w:r>
    </w:p>
    <w:p w14:paraId="0183D85A">
      <w:pPr>
        <w:tabs>
          <w:tab w:val="left" w:pos="1980"/>
        </w:tabs>
        <w:spacing w:line="298" w:lineRule="auto"/>
        <w:ind w:left="1260"/>
        <w:rPr>
          <w:rFonts w:hint="eastAsia"/>
          <w:sz w:val="24"/>
        </w:rPr>
      </w:pPr>
    </w:p>
    <w:p w14:paraId="156EEC90">
      <w:pPr>
        <w:tabs>
          <w:tab w:val="left" w:pos="1980"/>
        </w:tabs>
        <w:spacing w:line="298" w:lineRule="auto"/>
        <w:ind w:left="1417" w:leftChars="674" w:hanging="2"/>
        <w:rPr>
          <w:sz w:val="24"/>
        </w:rPr>
      </w:pPr>
      <w:r>
        <w:rPr>
          <w:rFonts w:hint="eastAsia"/>
          <w:sz w:val="24"/>
        </w:rPr>
        <w:t>公司向与关联人共同投资形成的控股子公司提供财务资助，参照本制度执行。</w:t>
      </w:r>
      <w:r>
        <w:rPr>
          <w:rFonts w:hint="eastAsia"/>
          <w:sz w:val="24"/>
        </w:rPr>
        <w:cr/>
      </w:r>
    </w:p>
    <w:p w14:paraId="5A7D2537">
      <w:pPr>
        <w:numPr>
          <w:ilvl w:val="1"/>
          <w:numId w:val="2"/>
        </w:numPr>
        <w:tabs>
          <w:tab w:val="left" w:pos="1440"/>
          <w:tab w:val="left" w:pos="1980"/>
          <w:tab w:val="clear" w:pos="816"/>
        </w:tabs>
        <w:spacing w:line="298" w:lineRule="auto"/>
        <w:ind w:left="1440" w:hanging="1440"/>
        <w:rPr>
          <w:rFonts w:ascii="宋体" w:hAnsi="宋体" w:cs="Arial"/>
          <w:sz w:val="24"/>
        </w:rPr>
      </w:pPr>
      <w:r>
        <w:rPr>
          <w:rFonts w:hint="eastAsia" w:ascii="宋体" w:hAnsi="宋体" w:cs="Arial"/>
          <w:sz w:val="24"/>
        </w:rPr>
        <w:t>公司存在下列情形之一的，应当参照本制度的规定执行：</w:t>
      </w:r>
    </w:p>
    <w:p w14:paraId="6D1D0678">
      <w:pPr>
        <w:tabs>
          <w:tab w:val="left" w:pos="1980"/>
        </w:tabs>
        <w:spacing w:line="298" w:lineRule="auto"/>
        <w:ind w:left="1440"/>
        <w:rPr>
          <w:rFonts w:ascii="宋体" w:hAnsi="宋体" w:cs="Arial"/>
          <w:sz w:val="24"/>
        </w:rPr>
      </w:pPr>
    </w:p>
    <w:p w14:paraId="2B510CD7">
      <w:pPr>
        <w:tabs>
          <w:tab w:val="left" w:pos="1980"/>
        </w:tabs>
        <w:spacing w:line="298" w:lineRule="auto"/>
        <w:ind w:left="1440"/>
        <w:rPr>
          <w:rFonts w:hint="eastAsia" w:ascii="宋体" w:hAnsi="宋体" w:cs="Arial"/>
          <w:sz w:val="24"/>
        </w:rPr>
      </w:pPr>
      <w:r>
        <w:rPr>
          <w:rFonts w:hint="eastAsia" w:ascii="宋体" w:hAnsi="宋体" w:cs="Arial"/>
          <w:sz w:val="24"/>
        </w:rPr>
        <w:t>（一）</w:t>
      </w:r>
      <w:r>
        <w:rPr>
          <w:rFonts w:hint="eastAsia" w:ascii="宋体" w:hAnsi="宋体" w:cs="Arial"/>
          <w:sz w:val="24"/>
        </w:rPr>
        <w:tab/>
      </w:r>
      <w:r>
        <w:rPr>
          <w:rFonts w:hint="eastAsia" w:ascii="宋体" w:hAnsi="宋体" w:cs="Arial"/>
          <w:sz w:val="24"/>
        </w:rPr>
        <w:t>在主营业务范围外以实物资产、无形资产等方式对外提供资助；</w:t>
      </w:r>
    </w:p>
    <w:p w14:paraId="7EFE13FD">
      <w:pPr>
        <w:tabs>
          <w:tab w:val="left" w:pos="1980"/>
        </w:tabs>
        <w:spacing w:line="298" w:lineRule="auto"/>
        <w:ind w:left="1440"/>
        <w:rPr>
          <w:rFonts w:hint="eastAsia" w:ascii="宋体" w:hAnsi="宋体" w:cs="Arial"/>
          <w:sz w:val="24"/>
        </w:rPr>
      </w:pPr>
      <w:r>
        <w:rPr>
          <w:rFonts w:hint="eastAsia" w:ascii="宋体" w:hAnsi="宋体" w:cs="Arial"/>
          <w:sz w:val="24"/>
        </w:rPr>
        <w:t>（二）</w:t>
      </w:r>
      <w:r>
        <w:rPr>
          <w:rFonts w:hint="eastAsia" w:ascii="宋体" w:hAnsi="宋体" w:cs="Arial"/>
          <w:sz w:val="24"/>
        </w:rPr>
        <w:tab/>
      </w:r>
      <w:r>
        <w:rPr>
          <w:rFonts w:hint="eastAsia" w:ascii="宋体" w:hAnsi="宋体" w:cs="Arial"/>
          <w:sz w:val="24"/>
        </w:rPr>
        <w:t>为他人承担费用；</w:t>
      </w:r>
    </w:p>
    <w:p w14:paraId="5DD83D75">
      <w:pPr>
        <w:tabs>
          <w:tab w:val="left" w:pos="1980"/>
        </w:tabs>
        <w:spacing w:line="298" w:lineRule="auto"/>
        <w:ind w:left="1440"/>
        <w:rPr>
          <w:rFonts w:hint="eastAsia" w:ascii="宋体" w:hAnsi="宋体" w:cs="Arial"/>
          <w:sz w:val="24"/>
        </w:rPr>
      </w:pPr>
      <w:r>
        <w:rPr>
          <w:rFonts w:hint="eastAsia" w:ascii="宋体" w:hAnsi="宋体" w:cs="Arial"/>
          <w:sz w:val="24"/>
        </w:rPr>
        <w:t>（三）</w:t>
      </w:r>
      <w:r>
        <w:rPr>
          <w:rFonts w:hint="eastAsia" w:ascii="宋体" w:hAnsi="宋体" w:cs="Arial"/>
          <w:sz w:val="24"/>
        </w:rPr>
        <w:tab/>
      </w:r>
      <w:r>
        <w:rPr>
          <w:rFonts w:hint="eastAsia" w:ascii="宋体" w:hAnsi="宋体" w:cs="Arial"/>
          <w:sz w:val="24"/>
        </w:rPr>
        <w:t>无偿提供资产使用权或者收取资产使用权的费用明显低于行业一般水平；</w:t>
      </w:r>
    </w:p>
    <w:p w14:paraId="6B908C22">
      <w:pPr>
        <w:tabs>
          <w:tab w:val="left" w:pos="1980"/>
        </w:tabs>
        <w:spacing w:line="298" w:lineRule="auto"/>
        <w:ind w:left="1440"/>
        <w:rPr>
          <w:rFonts w:hint="eastAsia" w:ascii="宋体" w:hAnsi="宋体" w:cs="Arial"/>
          <w:sz w:val="24"/>
        </w:rPr>
      </w:pPr>
      <w:r>
        <w:rPr>
          <w:rFonts w:hint="eastAsia" w:ascii="宋体" w:hAnsi="宋体" w:cs="Arial"/>
          <w:sz w:val="24"/>
        </w:rPr>
        <w:t>（四）</w:t>
      </w:r>
      <w:r>
        <w:rPr>
          <w:rFonts w:hint="eastAsia" w:ascii="宋体" w:hAnsi="宋体" w:cs="Arial"/>
          <w:sz w:val="24"/>
        </w:rPr>
        <w:tab/>
      </w:r>
      <w:r>
        <w:rPr>
          <w:rFonts w:hint="eastAsia" w:ascii="宋体" w:hAnsi="宋体" w:cs="Arial"/>
          <w:sz w:val="24"/>
        </w:rPr>
        <w:t>支付预付款比例明显高于同行业一般水平；</w:t>
      </w:r>
    </w:p>
    <w:p w14:paraId="1AF0C3C5">
      <w:pPr>
        <w:tabs>
          <w:tab w:val="left" w:pos="1980"/>
        </w:tabs>
        <w:spacing w:line="298" w:lineRule="auto"/>
        <w:ind w:left="1440"/>
        <w:rPr>
          <w:rFonts w:hint="eastAsia" w:ascii="宋体" w:hAnsi="宋体" w:cs="Arial"/>
          <w:sz w:val="24"/>
        </w:rPr>
      </w:pPr>
      <w:r>
        <w:rPr>
          <w:rFonts w:hint="eastAsia" w:ascii="宋体" w:hAnsi="宋体" w:cs="Arial"/>
          <w:sz w:val="24"/>
        </w:rPr>
        <w:t>（五）</w:t>
      </w:r>
      <w:r>
        <w:rPr>
          <w:rFonts w:hint="eastAsia" w:ascii="宋体" w:hAnsi="宋体" w:cs="Arial"/>
          <w:sz w:val="24"/>
        </w:rPr>
        <w:tab/>
      </w:r>
      <w:r>
        <w:rPr>
          <w:rFonts w:hint="eastAsia" w:ascii="宋体" w:hAnsi="宋体" w:cs="Arial"/>
          <w:sz w:val="24"/>
        </w:rPr>
        <w:t>深圳证券交易所认定的其他构成实质性财务资助的行为。</w:t>
      </w:r>
    </w:p>
    <w:p w14:paraId="777203CA">
      <w:pPr>
        <w:tabs>
          <w:tab w:val="left" w:pos="1980"/>
        </w:tabs>
        <w:spacing w:line="298" w:lineRule="auto"/>
        <w:ind w:left="1440"/>
        <w:rPr>
          <w:rFonts w:hint="eastAsia" w:ascii="宋体" w:hAnsi="宋体" w:cs="Arial"/>
          <w:sz w:val="24"/>
        </w:rPr>
      </w:pPr>
    </w:p>
    <w:p w14:paraId="5CD7A488">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公司不得为董事、高级管理人员、控股股东、实际控制人及其控股子公司等关联法人（或者其他组织）和关联自然人提供资金等财务资助。</w:t>
      </w:r>
      <w:r>
        <w:rPr>
          <w:rFonts w:hint="eastAsia" w:ascii="宋体" w:hAnsi="宋体" w:cs="Arial"/>
          <w:sz w:val="24"/>
        </w:rPr>
        <w:cr/>
      </w:r>
    </w:p>
    <w:p w14:paraId="46AB6A2B">
      <w:pPr>
        <w:numPr>
          <w:ilvl w:val="0"/>
          <w:numId w:val="1"/>
        </w:numPr>
        <w:tabs>
          <w:tab w:val="left" w:pos="1080"/>
          <w:tab w:val="clear" w:pos="4260"/>
        </w:tabs>
        <w:spacing w:line="298" w:lineRule="auto"/>
        <w:ind w:left="0" w:firstLine="0"/>
        <w:jc w:val="center"/>
        <w:rPr>
          <w:rFonts w:hint="eastAsia" w:ascii="宋体" w:hAnsi="宋体" w:cs="Arial"/>
          <w:b/>
          <w:sz w:val="24"/>
        </w:rPr>
      </w:pPr>
      <w:r>
        <w:rPr>
          <w:rFonts w:hint="eastAsia" w:ascii="宋体" w:hAnsi="宋体" w:cs="Arial"/>
          <w:b/>
          <w:sz w:val="24"/>
        </w:rPr>
        <w:t>对外财务资助的审批</w:t>
      </w:r>
    </w:p>
    <w:p w14:paraId="1FAACFEE">
      <w:pPr>
        <w:spacing w:line="298" w:lineRule="auto"/>
        <w:ind w:left="3435"/>
        <w:rPr>
          <w:rFonts w:hint="eastAsia" w:ascii="宋体" w:hAnsi="宋体" w:cs="Arial"/>
          <w:b/>
          <w:sz w:val="24"/>
        </w:rPr>
      </w:pPr>
    </w:p>
    <w:p w14:paraId="6DF98641">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公司对外提供财务资助必须经董事会或股东会审议。</w:t>
      </w:r>
    </w:p>
    <w:p w14:paraId="21F87354">
      <w:pPr>
        <w:spacing w:line="298" w:lineRule="auto"/>
        <w:rPr>
          <w:rFonts w:hint="eastAsia" w:ascii="宋体" w:hAnsi="宋体" w:cs="Arial"/>
          <w:b/>
          <w:sz w:val="24"/>
        </w:rPr>
      </w:pPr>
    </w:p>
    <w:p w14:paraId="53ADFBCB">
      <w:pPr>
        <w:numPr>
          <w:ilvl w:val="1"/>
          <w:numId w:val="2"/>
        </w:numPr>
        <w:tabs>
          <w:tab w:val="left" w:pos="1440"/>
          <w:tab w:val="left" w:pos="1980"/>
          <w:tab w:val="clear" w:pos="816"/>
        </w:tabs>
        <w:spacing w:line="298" w:lineRule="auto"/>
        <w:ind w:left="1440" w:hanging="1440"/>
        <w:rPr>
          <w:rFonts w:ascii="宋体" w:hAnsi="宋体" w:cs="Arial"/>
          <w:sz w:val="24"/>
        </w:rPr>
      </w:pPr>
      <w:r>
        <w:rPr>
          <w:rFonts w:hint="eastAsia" w:ascii="宋体" w:hAnsi="宋体" w:cs="Arial"/>
          <w:sz w:val="24"/>
        </w:rPr>
        <w:t>公司董事会审议对外提供财务资助时，必须经出席董事会的三分之二以上的董事同意并做出决议，及时履行信息披露义务。</w:t>
      </w:r>
    </w:p>
    <w:p w14:paraId="1CF6EB39">
      <w:pPr>
        <w:spacing w:line="298" w:lineRule="auto"/>
        <w:ind w:firstLine="1440" w:firstLineChars="600"/>
        <w:rPr>
          <w:rFonts w:hint="eastAsia" w:ascii="宋体" w:hAnsi="宋体" w:cs="Arial"/>
          <w:sz w:val="24"/>
        </w:rPr>
      </w:pPr>
    </w:p>
    <w:p w14:paraId="1B2D5931">
      <w:pPr>
        <w:numPr>
          <w:ilvl w:val="1"/>
          <w:numId w:val="2"/>
        </w:numPr>
        <w:tabs>
          <w:tab w:val="left" w:pos="1440"/>
          <w:tab w:val="left" w:pos="1980"/>
          <w:tab w:val="clear" w:pos="816"/>
        </w:tabs>
        <w:spacing w:line="298" w:lineRule="auto"/>
        <w:ind w:left="1440" w:hanging="1440"/>
        <w:rPr>
          <w:rFonts w:hint="eastAsia" w:ascii="宋体" w:hAnsi="宋体" w:cs="Arial"/>
          <w:iCs/>
          <w:color w:val="000000"/>
          <w:sz w:val="24"/>
        </w:rPr>
      </w:pPr>
      <w:r>
        <w:rPr>
          <w:rFonts w:hint="eastAsia" w:ascii="宋体" w:hAnsi="宋体" w:cs="Arial"/>
          <w:sz w:val="24"/>
        </w:rPr>
        <w:t>公司董事会审议财务资助事项时，应当充分关注提供财务资助的原因，在对被资助对象的资产质量、经营情况、行业前景、偿债能力、信用状况、第三方担保及履约能力情况等进行全面评估的基础上，披露该财务资助事项的风险和公允性，以及董事会对被资助对象偿还债务能力的判断。</w:t>
      </w:r>
      <w:r>
        <w:rPr>
          <w:rFonts w:hint="eastAsia" w:ascii="宋体" w:hAnsi="宋体" w:cs="Arial"/>
          <w:iCs/>
          <w:color w:val="000000"/>
          <w:sz w:val="24"/>
        </w:rPr>
        <w:t>保荐人或独立财务顾问（如有）应当对财务资助事项的合法合规性、公允性及存在的风险等发表意见</w:t>
      </w:r>
    </w:p>
    <w:p w14:paraId="4A54074A">
      <w:pPr>
        <w:pStyle w:val="19"/>
        <w:ind w:firstLine="480"/>
        <w:rPr>
          <w:rFonts w:hint="eastAsia" w:ascii="宋体" w:hAnsi="宋体" w:cs="Arial"/>
          <w:i/>
          <w:iCs/>
          <w:color w:val="000000"/>
          <w:sz w:val="24"/>
        </w:rPr>
      </w:pPr>
    </w:p>
    <w:p w14:paraId="3D5BDA16">
      <w:pPr>
        <w:numPr>
          <w:ilvl w:val="1"/>
          <w:numId w:val="2"/>
        </w:numPr>
        <w:tabs>
          <w:tab w:val="left" w:pos="1440"/>
          <w:tab w:val="left" w:pos="1980"/>
          <w:tab w:val="clear" w:pos="816"/>
        </w:tabs>
        <w:spacing w:line="298" w:lineRule="auto"/>
        <w:ind w:left="1440" w:hanging="1440"/>
        <w:rPr>
          <w:rFonts w:ascii="宋体" w:hAnsi="宋体" w:cs="Arial"/>
          <w:i/>
          <w:iCs/>
          <w:color w:val="000000"/>
          <w:sz w:val="24"/>
        </w:rPr>
      </w:pPr>
      <w:r>
        <w:rPr>
          <w:rFonts w:hint="eastAsia" w:ascii="宋体" w:hAnsi="宋体" w:cs="Arial"/>
          <w:iCs/>
          <w:color w:val="000000"/>
          <w:sz w:val="24"/>
        </w:rPr>
        <w:t>公司对外提供财务资助事项属于下列情形之一的，经董事会审议通过后提交股东会审议通过：</w:t>
      </w:r>
      <w:r>
        <w:rPr>
          <w:rFonts w:hint="eastAsia" w:ascii="宋体" w:hAnsi="宋体" w:cs="Arial"/>
          <w:iCs/>
          <w:color w:val="000000"/>
          <w:sz w:val="24"/>
        </w:rPr>
        <w:cr/>
      </w:r>
    </w:p>
    <w:p w14:paraId="3AB7056E">
      <w:pPr>
        <w:numPr>
          <w:ilvl w:val="3"/>
          <w:numId w:val="2"/>
        </w:numPr>
        <w:tabs>
          <w:tab w:val="left" w:pos="2410"/>
          <w:tab w:val="clear" w:pos="1980"/>
        </w:tabs>
        <w:spacing w:line="298" w:lineRule="auto"/>
        <w:ind w:left="2410" w:hanging="992"/>
        <w:rPr>
          <w:sz w:val="24"/>
        </w:rPr>
      </w:pPr>
      <w:r>
        <w:rPr>
          <w:rFonts w:hint="eastAsia" w:ascii="宋体" w:hAnsi="宋体" w:cs="Arial"/>
          <w:sz w:val="24"/>
        </w:rPr>
        <w:t>被资助对象最近一期经审计的资产负</w:t>
      </w:r>
      <w:r>
        <w:rPr>
          <w:sz w:val="24"/>
        </w:rPr>
        <w:t>债率超过70%；</w:t>
      </w:r>
    </w:p>
    <w:p w14:paraId="10A3409E">
      <w:pPr>
        <w:tabs>
          <w:tab w:val="left" w:pos="2160"/>
        </w:tabs>
        <w:spacing w:line="298" w:lineRule="auto"/>
        <w:ind w:left="1680"/>
        <w:rPr>
          <w:sz w:val="24"/>
        </w:rPr>
      </w:pPr>
    </w:p>
    <w:p w14:paraId="037BDE87">
      <w:pPr>
        <w:numPr>
          <w:ilvl w:val="3"/>
          <w:numId w:val="2"/>
        </w:numPr>
        <w:tabs>
          <w:tab w:val="left" w:pos="2410"/>
          <w:tab w:val="clear" w:pos="1980"/>
        </w:tabs>
        <w:spacing w:line="298" w:lineRule="auto"/>
        <w:ind w:left="2410" w:hanging="992"/>
        <w:rPr>
          <w:sz w:val="24"/>
        </w:rPr>
      </w:pPr>
      <w:r>
        <w:rPr>
          <w:rFonts w:hint="eastAsia"/>
          <w:sz w:val="24"/>
        </w:rPr>
        <w:t>单次财务资助金额或者连续十二个月内累计提供财务资助金额超过公司最近一期经审计净资产10%；</w:t>
      </w:r>
    </w:p>
    <w:p w14:paraId="1C79532F">
      <w:pPr>
        <w:tabs>
          <w:tab w:val="left" w:pos="2160"/>
        </w:tabs>
        <w:spacing w:line="298" w:lineRule="auto"/>
        <w:ind w:left="2189" w:leftChars="686" w:hanging="748" w:hangingChars="312"/>
        <w:rPr>
          <w:rFonts w:ascii="宋体" w:hAnsi="宋体" w:cs="Arial"/>
          <w:sz w:val="24"/>
        </w:rPr>
      </w:pPr>
    </w:p>
    <w:p w14:paraId="491C749C">
      <w:pPr>
        <w:numPr>
          <w:ilvl w:val="3"/>
          <w:numId w:val="2"/>
        </w:numPr>
        <w:tabs>
          <w:tab w:val="left" w:pos="2410"/>
          <w:tab w:val="clear" w:pos="1980"/>
        </w:tabs>
        <w:spacing w:line="298" w:lineRule="auto"/>
        <w:ind w:left="2410" w:hanging="992"/>
        <w:rPr>
          <w:rFonts w:hint="eastAsia" w:ascii="宋体" w:hAnsi="宋体" w:cs="Arial"/>
          <w:sz w:val="24"/>
        </w:rPr>
      </w:pPr>
      <w:r>
        <w:rPr>
          <w:rFonts w:hint="eastAsia" w:ascii="宋体" w:hAnsi="宋体" w:cs="Arial"/>
          <w:sz w:val="24"/>
        </w:rPr>
        <w:t>深圳证券交易所或《公司章程》规定的其他情形。</w:t>
      </w:r>
    </w:p>
    <w:p w14:paraId="4418AB8A">
      <w:pPr>
        <w:spacing w:line="298" w:lineRule="auto"/>
        <w:ind w:firstLine="1440" w:firstLineChars="600"/>
        <w:rPr>
          <w:rFonts w:ascii="宋体" w:hAnsi="宋体" w:cs="Arial"/>
          <w:sz w:val="24"/>
        </w:rPr>
      </w:pPr>
    </w:p>
    <w:p w14:paraId="10B094D6">
      <w:pPr>
        <w:numPr>
          <w:ilvl w:val="1"/>
          <w:numId w:val="2"/>
        </w:numPr>
        <w:tabs>
          <w:tab w:val="left" w:pos="1440"/>
          <w:tab w:val="left" w:pos="1980"/>
          <w:tab w:val="clear" w:pos="816"/>
        </w:tabs>
        <w:spacing w:line="298" w:lineRule="auto"/>
        <w:ind w:left="1440" w:hanging="1440"/>
        <w:rPr>
          <w:rFonts w:ascii="宋体" w:hAnsi="宋体" w:cs="Arial"/>
          <w:sz w:val="24"/>
        </w:rPr>
      </w:pPr>
      <w:r>
        <w:rPr>
          <w:rFonts w:hint="eastAsia" w:ascii="宋体" w:hAnsi="宋体" w:cs="Arial"/>
          <w:sz w:val="24"/>
        </w:rPr>
        <w:t>公司的关联参股公司（不包括公司控股股东、实际控制人及其关联人控制的主体）的其他股东按出资比例提供同等条件的财务资助的，公司可以向该关联参股公司提供财务资助，应当经全体非关联董事的过半数审议通过，还应当经出席董事会会议的非关联董事的三分之二以上董事审议通过，并提交股东会审议</w:t>
      </w:r>
      <w:r>
        <w:rPr>
          <w:sz w:val="24"/>
        </w:rPr>
        <w:t>。</w:t>
      </w:r>
      <w:r>
        <w:rPr>
          <w:sz w:val="24"/>
        </w:rPr>
        <w:cr/>
      </w:r>
    </w:p>
    <w:p w14:paraId="5D609BE5">
      <w:pPr>
        <w:tabs>
          <w:tab w:val="left" w:pos="1980"/>
        </w:tabs>
        <w:spacing w:line="298" w:lineRule="auto"/>
        <w:ind w:left="1440"/>
        <w:rPr>
          <w:rFonts w:ascii="宋体" w:hAnsi="宋体" w:cs="Arial"/>
          <w:sz w:val="24"/>
        </w:rPr>
      </w:pPr>
      <w:r>
        <w:rPr>
          <w:rFonts w:hint="eastAsia" w:ascii="宋体" w:hAnsi="宋体" w:cs="Arial"/>
          <w:sz w:val="24"/>
        </w:rPr>
        <w:t>除前款规定情形外，公司对控股子公司、参股公司提供财务资助的，该公司的其他股东原则上应当按出资比例提供同等条件的财务资助。如其他股东未能以同等条件或者出资比例向该公司提供财务资助的，应当说明原因以及公司利益未受到损害的理由，公司是否已要求上述其他股东提供相应担保。</w:t>
      </w:r>
    </w:p>
    <w:p w14:paraId="7CD25856">
      <w:pPr>
        <w:tabs>
          <w:tab w:val="left" w:pos="1980"/>
        </w:tabs>
        <w:spacing w:line="298" w:lineRule="auto"/>
        <w:ind w:left="1440"/>
        <w:rPr>
          <w:rFonts w:hint="eastAsia" w:ascii="宋体" w:hAnsi="宋体" w:cs="Arial"/>
          <w:sz w:val="24"/>
        </w:rPr>
      </w:pPr>
    </w:p>
    <w:p w14:paraId="339C7AC7">
      <w:pPr>
        <w:numPr>
          <w:ilvl w:val="1"/>
          <w:numId w:val="2"/>
        </w:numPr>
        <w:tabs>
          <w:tab w:val="left" w:pos="1440"/>
          <w:tab w:val="left" w:pos="1980"/>
          <w:tab w:val="clear" w:pos="816"/>
        </w:tabs>
        <w:spacing w:line="298" w:lineRule="auto"/>
        <w:ind w:left="1440" w:hanging="1440"/>
        <w:rPr>
          <w:rFonts w:ascii="宋体" w:hAnsi="宋体" w:cs="Arial"/>
          <w:sz w:val="24"/>
        </w:rPr>
      </w:pPr>
      <w:r>
        <w:rPr>
          <w:rFonts w:hint="eastAsia" w:ascii="宋体" w:hAnsi="宋体" w:cs="Arial"/>
          <w:sz w:val="24"/>
        </w:rPr>
        <w:t>公司募集资金不得用于对外提供财务资助。</w:t>
      </w:r>
    </w:p>
    <w:p w14:paraId="0443F35B">
      <w:pPr>
        <w:tabs>
          <w:tab w:val="left" w:pos="1980"/>
        </w:tabs>
        <w:spacing w:line="298" w:lineRule="auto"/>
        <w:ind w:left="1440"/>
        <w:rPr>
          <w:rFonts w:ascii="宋体" w:hAnsi="宋体" w:cs="Arial"/>
          <w:sz w:val="24"/>
        </w:rPr>
      </w:pPr>
    </w:p>
    <w:p w14:paraId="1AD06C91">
      <w:pPr>
        <w:tabs>
          <w:tab w:val="left" w:pos="1980"/>
        </w:tabs>
        <w:spacing w:line="298" w:lineRule="auto"/>
        <w:ind w:left="1440"/>
        <w:rPr>
          <w:rFonts w:hint="eastAsia" w:ascii="宋体" w:hAnsi="宋体" w:cs="Arial"/>
          <w:sz w:val="24"/>
        </w:rPr>
      </w:pPr>
      <w:r>
        <w:rPr>
          <w:rFonts w:hint="eastAsia" w:ascii="宋体" w:hAnsi="宋体" w:cs="Arial"/>
          <w:sz w:val="24"/>
        </w:rPr>
        <w:t>公司使用超募资金永久补充流动资金的，十二个月内不得为控股子公司以外的对象提供财务资助。</w:t>
      </w:r>
    </w:p>
    <w:p w14:paraId="68F25812">
      <w:pPr>
        <w:tabs>
          <w:tab w:val="left" w:pos="1980"/>
        </w:tabs>
        <w:spacing w:line="298" w:lineRule="auto"/>
        <w:rPr>
          <w:rFonts w:hint="eastAsia" w:ascii="宋体" w:hAnsi="宋体" w:cs="Arial"/>
          <w:sz w:val="24"/>
        </w:rPr>
      </w:pPr>
    </w:p>
    <w:p w14:paraId="7A90C111">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财务资助款项逾期未收回的，公司不得向同一对象继续提供财务资助或者追加提供财务资助。</w:t>
      </w:r>
      <w:r>
        <w:rPr>
          <w:rFonts w:hint="eastAsia" w:ascii="宋体" w:hAnsi="宋体" w:cs="Arial"/>
          <w:sz w:val="24"/>
        </w:rPr>
        <w:cr/>
      </w:r>
    </w:p>
    <w:p w14:paraId="7FF2CA35">
      <w:pPr>
        <w:numPr>
          <w:ilvl w:val="0"/>
          <w:numId w:val="1"/>
        </w:numPr>
        <w:tabs>
          <w:tab w:val="left" w:pos="1080"/>
          <w:tab w:val="clear" w:pos="4260"/>
        </w:tabs>
        <w:spacing w:line="298" w:lineRule="auto"/>
        <w:ind w:left="0" w:firstLine="0"/>
        <w:jc w:val="center"/>
        <w:rPr>
          <w:rFonts w:hint="eastAsia" w:ascii="宋体" w:hAnsi="宋体" w:cs="Arial"/>
          <w:b/>
          <w:sz w:val="24"/>
        </w:rPr>
      </w:pPr>
      <w:r>
        <w:rPr>
          <w:rFonts w:hint="eastAsia" w:ascii="宋体" w:hAnsi="宋体" w:cs="Arial"/>
          <w:b/>
          <w:sz w:val="24"/>
        </w:rPr>
        <w:t>对外财务资助操作程序</w:t>
      </w:r>
    </w:p>
    <w:p w14:paraId="0D1D0C63">
      <w:pPr>
        <w:tabs>
          <w:tab w:val="left" w:pos="1980"/>
        </w:tabs>
        <w:spacing w:line="298" w:lineRule="auto"/>
        <w:rPr>
          <w:rFonts w:hint="eastAsia" w:ascii="宋体" w:hAnsi="宋体" w:cs="Arial"/>
          <w:sz w:val="24"/>
        </w:rPr>
      </w:pPr>
    </w:p>
    <w:p w14:paraId="3D6FA5CF">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公司对外提供财务资助之前，由公司财务部负责做好对财务资助对象企业的资产质量、经营情况、行业前景、偿债能力、信用状况等方面的风险调查工作，由公司审计部对财务部提供的风险评估进行审核。</w:t>
      </w:r>
    </w:p>
    <w:p w14:paraId="1C08E12C">
      <w:pPr>
        <w:autoSpaceDE w:val="0"/>
        <w:autoSpaceDN w:val="0"/>
        <w:adjustRightInd w:val="0"/>
        <w:snapToGrid w:val="0"/>
        <w:spacing w:line="298" w:lineRule="auto"/>
        <w:rPr>
          <w:rFonts w:hint="eastAsia" w:ascii="宋体" w:hAnsi="宋体" w:cs="Arial"/>
          <w:sz w:val="24"/>
        </w:rPr>
      </w:pPr>
    </w:p>
    <w:p w14:paraId="6FC3FD9D">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公司对外提供财务资助，应当与资助对象等有关方签署协议，约定资助对象应遵守的条件、财务资助的金额、期限、违约责任等内容。</w:t>
      </w:r>
      <w:r>
        <w:rPr>
          <w:rFonts w:hint="eastAsia" w:ascii="宋体" w:hAnsi="宋体" w:cs="Arial"/>
          <w:sz w:val="24"/>
        </w:rPr>
        <w:cr/>
      </w:r>
    </w:p>
    <w:p w14:paraId="3D7D4702">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公司财务部在董事会或股东会审议通过后，办理对外提供财务资助手续，按照要求的审批权限履行审批程序。</w:t>
      </w:r>
    </w:p>
    <w:p w14:paraId="687AB8C5">
      <w:pPr>
        <w:autoSpaceDE w:val="0"/>
        <w:autoSpaceDN w:val="0"/>
        <w:adjustRightInd w:val="0"/>
        <w:snapToGrid w:val="0"/>
        <w:spacing w:line="298" w:lineRule="auto"/>
        <w:jc w:val="left"/>
        <w:rPr>
          <w:rFonts w:hint="eastAsia" w:ascii="宋体" w:hAnsi="宋体" w:cs="Arial"/>
          <w:sz w:val="24"/>
        </w:rPr>
      </w:pPr>
    </w:p>
    <w:p w14:paraId="59087859">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公司财务部负责做好资助对象企业日后的跟踪、监督及其他相关工作。</w:t>
      </w:r>
    </w:p>
    <w:p w14:paraId="4C522C34">
      <w:pPr>
        <w:pStyle w:val="19"/>
        <w:ind w:firstLine="480"/>
        <w:rPr>
          <w:rFonts w:hint="eastAsia" w:ascii="宋体" w:hAnsi="宋体" w:cs="Arial"/>
          <w:sz w:val="24"/>
        </w:rPr>
      </w:pPr>
    </w:p>
    <w:p w14:paraId="5BDD8132">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公司证券部负责对外提供财务资助的信息披露工作，严格按照深圳证券交易所相关业务规则的要求进行披露。</w:t>
      </w:r>
    </w:p>
    <w:p w14:paraId="4361FAB4">
      <w:pPr>
        <w:pStyle w:val="19"/>
        <w:ind w:firstLine="480"/>
        <w:rPr>
          <w:rFonts w:hint="eastAsia" w:ascii="宋体" w:hAnsi="宋体" w:cs="Arial"/>
          <w:sz w:val="24"/>
        </w:rPr>
      </w:pPr>
    </w:p>
    <w:p w14:paraId="41F3A2FD">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公司审计部负责对财务资助事项的合规性及日后跟踪情况进行检查监督。</w:t>
      </w:r>
    </w:p>
    <w:p w14:paraId="52CD463F">
      <w:pPr>
        <w:tabs>
          <w:tab w:val="left" w:pos="1080"/>
        </w:tabs>
        <w:autoSpaceDE w:val="0"/>
        <w:autoSpaceDN w:val="0"/>
        <w:adjustRightInd w:val="0"/>
        <w:snapToGrid w:val="0"/>
        <w:spacing w:line="298" w:lineRule="auto"/>
        <w:jc w:val="left"/>
        <w:rPr>
          <w:rFonts w:hint="eastAsia" w:ascii="宋体" w:hAnsi="宋体" w:cs="Arial"/>
          <w:sz w:val="24"/>
        </w:rPr>
      </w:pPr>
    </w:p>
    <w:p w14:paraId="7F1144CB">
      <w:pPr>
        <w:numPr>
          <w:ilvl w:val="0"/>
          <w:numId w:val="1"/>
        </w:numPr>
        <w:tabs>
          <w:tab w:val="left" w:pos="1080"/>
          <w:tab w:val="clear" w:pos="4260"/>
        </w:tabs>
        <w:spacing w:line="298" w:lineRule="auto"/>
        <w:ind w:left="0" w:firstLine="0"/>
        <w:jc w:val="center"/>
        <w:rPr>
          <w:rFonts w:hint="eastAsia" w:ascii="宋体" w:hAnsi="宋体" w:cs="Arial"/>
          <w:b/>
          <w:sz w:val="24"/>
        </w:rPr>
      </w:pPr>
      <w:r>
        <w:rPr>
          <w:rFonts w:hint="eastAsia" w:ascii="宋体" w:hAnsi="宋体" w:cs="Arial"/>
          <w:b/>
          <w:sz w:val="24"/>
        </w:rPr>
        <w:t>对外提供财务资助信息披露</w:t>
      </w:r>
    </w:p>
    <w:p w14:paraId="22DEF98A">
      <w:pPr>
        <w:spacing w:line="298" w:lineRule="auto"/>
        <w:ind w:left="3435"/>
        <w:rPr>
          <w:rFonts w:hint="eastAsia" w:ascii="宋体" w:hAnsi="宋体" w:cs="Arial"/>
          <w:sz w:val="24"/>
        </w:rPr>
      </w:pPr>
    </w:p>
    <w:p w14:paraId="663909DA">
      <w:pPr>
        <w:numPr>
          <w:ilvl w:val="1"/>
          <w:numId w:val="2"/>
        </w:numPr>
        <w:tabs>
          <w:tab w:val="left" w:pos="1440"/>
          <w:tab w:val="left" w:pos="1980"/>
          <w:tab w:val="clear" w:pos="816"/>
        </w:tabs>
        <w:spacing w:line="298" w:lineRule="auto"/>
        <w:ind w:left="1440" w:hanging="1440"/>
        <w:rPr>
          <w:rFonts w:ascii="宋体" w:hAnsi="宋体" w:cs="Arial"/>
          <w:sz w:val="24"/>
        </w:rPr>
      </w:pPr>
      <w:r>
        <w:rPr>
          <w:rFonts w:hint="eastAsia" w:ascii="宋体" w:hAnsi="宋体" w:cs="Arial"/>
          <w:sz w:val="24"/>
        </w:rPr>
        <w:t>公司披露对外提供财务资助事项，应按照相关规定向深圳证券交易所提交公告文件，严格履行信息披露义务。公司披露对外提供财务资助事项，应当充分披露所采取的风险防范措施，包括被资助对象或者其他第三方是否就财务资助事项提供担保等。由第三方就财务资助事项提供担保的，应当披露该第三方的基本情况及其担保履约能力情况。</w:t>
      </w:r>
      <w:r>
        <w:rPr>
          <w:rFonts w:hint="eastAsia" w:ascii="宋体" w:hAnsi="宋体" w:cs="Arial"/>
          <w:sz w:val="24"/>
        </w:rPr>
        <w:cr/>
      </w:r>
    </w:p>
    <w:p w14:paraId="6C8153CE">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对于已披露的财务资助事项，公司应当在出现以下情形之一时及时披露相关情况及拟采取的措施：</w:t>
      </w:r>
    </w:p>
    <w:p w14:paraId="3739F612">
      <w:pPr>
        <w:tabs>
          <w:tab w:val="left" w:pos="1980"/>
        </w:tabs>
        <w:spacing w:line="298" w:lineRule="auto"/>
        <w:ind w:left="1440"/>
        <w:rPr>
          <w:rFonts w:hint="eastAsia" w:ascii="宋体" w:hAnsi="宋体" w:cs="Arial"/>
          <w:sz w:val="24"/>
        </w:rPr>
      </w:pPr>
    </w:p>
    <w:p w14:paraId="4857B4C0">
      <w:pPr>
        <w:numPr>
          <w:ilvl w:val="3"/>
          <w:numId w:val="2"/>
        </w:numPr>
        <w:tabs>
          <w:tab w:val="left" w:pos="2410"/>
          <w:tab w:val="clear" w:pos="1980"/>
        </w:tabs>
        <w:spacing w:line="298" w:lineRule="auto"/>
        <w:ind w:left="2410" w:hanging="992"/>
        <w:rPr>
          <w:rFonts w:hint="eastAsia" w:ascii="宋体" w:hAnsi="宋体" w:cs="Arial"/>
          <w:sz w:val="24"/>
        </w:rPr>
      </w:pPr>
      <w:r>
        <w:rPr>
          <w:rFonts w:hint="eastAsia" w:ascii="宋体" w:hAnsi="宋体" w:cs="Arial"/>
          <w:sz w:val="24"/>
        </w:rPr>
        <w:t>被资助对象在约定资助期限到期后未能及时还款的；</w:t>
      </w:r>
    </w:p>
    <w:p w14:paraId="56F4CCB3">
      <w:pPr>
        <w:tabs>
          <w:tab w:val="left" w:pos="1980"/>
        </w:tabs>
        <w:spacing w:line="298" w:lineRule="auto"/>
        <w:ind w:left="1440"/>
        <w:rPr>
          <w:rFonts w:hint="eastAsia" w:ascii="宋体" w:hAnsi="宋体" w:cs="Arial"/>
          <w:sz w:val="24"/>
        </w:rPr>
      </w:pPr>
    </w:p>
    <w:p w14:paraId="4B246887">
      <w:pPr>
        <w:numPr>
          <w:ilvl w:val="3"/>
          <w:numId w:val="2"/>
        </w:numPr>
        <w:tabs>
          <w:tab w:val="left" w:pos="2410"/>
          <w:tab w:val="clear" w:pos="1980"/>
        </w:tabs>
        <w:spacing w:line="298" w:lineRule="auto"/>
        <w:ind w:left="2410" w:hanging="992"/>
        <w:rPr>
          <w:rFonts w:hint="eastAsia" w:ascii="宋体" w:hAnsi="宋体" w:cs="Arial"/>
          <w:sz w:val="24"/>
        </w:rPr>
      </w:pPr>
      <w:r>
        <w:rPr>
          <w:rFonts w:hint="eastAsia" w:ascii="宋体" w:hAnsi="宋体" w:cs="Arial"/>
          <w:sz w:val="24"/>
        </w:rPr>
        <w:t>被资助对象或者就财务资助事项提供担保的第三方出现财务困难、资不抵债、现金流转困难、破产及其他严重影响还款能力情形的；</w:t>
      </w:r>
    </w:p>
    <w:p w14:paraId="20562411">
      <w:pPr>
        <w:tabs>
          <w:tab w:val="left" w:pos="1980"/>
        </w:tabs>
        <w:spacing w:line="298" w:lineRule="auto"/>
        <w:ind w:left="1440"/>
        <w:rPr>
          <w:rFonts w:hint="eastAsia" w:ascii="宋体" w:hAnsi="宋体" w:cs="Arial"/>
          <w:sz w:val="24"/>
        </w:rPr>
      </w:pPr>
    </w:p>
    <w:p w14:paraId="66E50830">
      <w:pPr>
        <w:numPr>
          <w:ilvl w:val="3"/>
          <w:numId w:val="2"/>
        </w:numPr>
        <w:tabs>
          <w:tab w:val="left" w:pos="2410"/>
          <w:tab w:val="clear" w:pos="1980"/>
        </w:tabs>
        <w:spacing w:line="298" w:lineRule="auto"/>
        <w:ind w:left="2410" w:hanging="992"/>
        <w:rPr>
          <w:rFonts w:hint="eastAsia" w:ascii="宋体" w:hAnsi="宋体" w:cs="Arial"/>
          <w:sz w:val="24"/>
        </w:rPr>
      </w:pPr>
      <w:r>
        <w:rPr>
          <w:rFonts w:hint="eastAsia" w:ascii="宋体" w:hAnsi="宋体" w:cs="Arial"/>
          <w:sz w:val="24"/>
        </w:rPr>
        <w:t>深圳证券交易所认定的其他情形。</w:t>
      </w:r>
      <w:r>
        <w:rPr>
          <w:rFonts w:hint="eastAsia" w:ascii="宋体" w:hAnsi="宋体" w:cs="Arial"/>
          <w:sz w:val="24"/>
        </w:rPr>
        <w:cr/>
      </w:r>
    </w:p>
    <w:p w14:paraId="4ED2B2B1">
      <w:pPr>
        <w:numPr>
          <w:ilvl w:val="0"/>
          <w:numId w:val="1"/>
        </w:numPr>
        <w:tabs>
          <w:tab w:val="left" w:pos="1080"/>
          <w:tab w:val="clear" w:pos="4260"/>
        </w:tabs>
        <w:spacing w:line="298" w:lineRule="auto"/>
        <w:ind w:left="0" w:firstLine="0"/>
        <w:jc w:val="center"/>
        <w:rPr>
          <w:rFonts w:hint="eastAsia" w:ascii="宋体" w:hAnsi="宋体" w:cs="Arial"/>
          <w:b/>
          <w:sz w:val="24"/>
        </w:rPr>
      </w:pPr>
      <w:r>
        <w:rPr>
          <w:rFonts w:hint="eastAsia" w:ascii="宋体" w:hAnsi="宋体" w:cs="Arial"/>
          <w:b/>
          <w:sz w:val="24"/>
        </w:rPr>
        <w:t>罚  则</w:t>
      </w:r>
    </w:p>
    <w:p w14:paraId="096CAFF2">
      <w:pPr>
        <w:spacing w:line="298" w:lineRule="auto"/>
        <w:ind w:left="3435"/>
        <w:rPr>
          <w:rFonts w:hint="eastAsia" w:ascii="宋体" w:hAnsi="宋体" w:cs="Arial"/>
          <w:sz w:val="24"/>
        </w:rPr>
      </w:pPr>
    </w:p>
    <w:p w14:paraId="61A3F7AA">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违反以上规定对外提供财务资助，给公司造成损失或不良影响的，追究相关人员的经济责任；情节严重、构成犯罪的，移交司法机关依法追究刑事责任。</w:t>
      </w:r>
      <w:r>
        <w:rPr>
          <w:rFonts w:hint="eastAsia" w:ascii="宋体" w:hAnsi="宋体" w:cs="Arial"/>
          <w:sz w:val="24"/>
        </w:rPr>
        <w:cr/>
      </w:r>
    </w:p>
    <w:p w14:paraId="28DA1E96">
      <w:pPr>
        <w:numPr>
          <w:ilvl w:val="0"/>
          <w:numId w:val="1"/>
        </w:numPr>
        <w:tabs>
          <w:tab w:val="left" w:pos="1080"/>
          <w:tab w:val="clear" w:pos="4260"/>
        </w:tabs>
        <w:spacing w:line="298" w:lineRule="auto"/>
        <w:ind w:left="0" w:firstLine="0"/>
        <w:jc w:val="center"/>
        <w:rPr>
          <w:rFonts w:hint="eastAsia" w:ascii="宋体" w:hAnsi="宋体" w:cs="Arial"/>
          <w:b/>
          <w:sz w:val="24"/>
        </w:rPr>
      </w:pPr>
      <w:r>
        <w:rPr>
          <w:rFonts w:hint="eastAsia" w:ascii="宋体" w:hAnsi="宋体" w:cs="Arial"/>
          <w:b/>
          <w:sz w:val="24"/>
        </w:rPr>
        <w:t>附  则</w:t>
      </w:r>
    </w:p>
    <w:p w14:paraId="01F34FBC">
      <w:pPr>
        <w:spacing w:line="298" w:lineRule="auto"/>
        <w:ind w:left="3435"/>
        <w:rPr>
          <w:rFonts w:hint="eastAsia" w:ascii="宋体" w:hAnsi="宋体" w:cs="Arial"/>
          <w:sz w:val="24"/>
        </w:rPr>
      </w:pPr>
    </w:p>
    <w:p w14:paraId="44C3F49E">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本制度未尽事宜，依照国家有关法律、法规、规范性文件以及《公司章程》的有关规定执行。本制度与有关法律、法规、规范性文件以及《公司章程》的有关规定不一致的，以有关法律、法规、规范性文件以及《公司章程》的规定为准。</w:t>
      </w:r>
    </w:p>
    <w:p w14:paraId="5A9B7161">
      <w:pPr>
        <w:tabs>
          <w:tab w:val="left" w:pos="1980"/>
        </w:tabs>
        <w:spacing w:line="298" w:lineRule="auto"/>
        <w:ind w:left="1440"/>
        <w:rPr>
          <w:rFonts w:hint="eastAsia" w:ascii="宋体" w:hAnsi="宋体" w:cs="Arial"/>
          <w:sz w:val="24"/>
        </w:rPr>
      </w:pPr>
    </w:p>
    <w:p w14:paraId="629F3624">
      <w:pPr>
        <w:numPr>
          <w:ilvl w:val="1"/>
          <w:numId w:val="2"/>
        </w:numPr>
        <w:tabs>
          <w:tab w:val="left" w:pos="1440"/>
          <w:tab w:val="left" w:pos="1980"/>
          <w:tab w:val="clear" w:pos="816"/>
        </w:tabs>
        <w:spacing w:line="298" w:lineRule="auto"/>
        <w:ind w:left="1440" w:hanging="1440"/>
        <w:rPr>
          <w:rFonts w:hint="eastAsia" w:ascii="宋体" w:hAnsi="宋体" w:cs="Arial"/>
          <w:sz w:val="24"/>
        </w:rPr>
      </w:pPr>
      <w:r>
        <w:rPr>
          <w:rFonts w:hint="eastAsia" w:ascii="宋体" w:hAnsi="宋体" w:cs="Arial"/>
          <w:sz w:val="24"/>
        </w:rPr>
        <w:t>本制度由公司董事会负责修订与解释。</w:t>
      </w:r>
    </w:p>
    <w:p w14:paraId="2E22CDA1">
      <w:pPr>
        <w:tabs>
          <w:tab w:val="left" w:pos="1980"/>
        </w:tabs>
        <w:spacing w:line="298" w:lineRule="auto"/>
        <w:ind w:left="1440"/>
        <w:rPr>
          <w:rFonts w:hint="eastAsia" w:ascii="宋体" w:hAnsi="宋体" w:cs="Arial"/>
          <w:sz w:val="24"/>
        </w:rPr>
      </w:pPr>
    </w:p>
    <w:p w14:paraId="0E6B96D3">
      <w:pPr>
        <w:numPr>
          <w:ilvl w:val="1"/>
          <w:numId w:val="2"/>
        </w:numPr>
        <w:tabs>
          <w:tab w:val="left" w:pos="1440"/>
          <w:tab w:val="left" w:pos="1980"/>
          <w:tab w:val="clear" w:pos="816"/>
        </w:tabs>
        <w:spacing w:line="298" w:lineRule="auto"/>
        <w:ind w:left="1440" w:hanging="1440"/>
        <w:rPr>
          <w:rFonts w:ascii="宋体" w:hAnsi="宋体" w:cs="Arial"/>
          <w:sz w:val="24"/>
        </w:rPr>
      </w:pPr>
      <w:r>
        <w:rPr>
          <w:rFonts w:hint="eastAsia" w:ascii="宋体" w:hAnsi="宋体" w:cs="Arial"/>
          <w:sz w:val="24"/>
        </w:rPr>
        <w:t>本制度自董事会审议通过之日起生效，修改时亦同。</w:t>
      </w:r>
    </w:p>
    <w:sectPr>
      <w:headerReference r:id="rId3" w:type="default"/>
      <w:footerReference r:id="rId4" w:type="default"/>
      <w:footerReference r:id="rId5" w:type="even"/>
      <w:pgSz w:w="11906" w:h="16838"/>
      <w:pgMar w:top="1565" w:right="1418" w:bottom="1701"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C877">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70A118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370A118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E841">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437BE5F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926BB">
    <w:pPr>
      <w:pStyle w:val="5"/>
      <w:pBdr>
        <w:bottom w:val="none" w:color="auto" w:sz="0" w:space="1"/>
      </w:pBdr>
      <w:tabs>
        <w:tab w:val="center" w:pos="4536"/>
        <w:tab w:val="clear" w:pos="4153"/>
      </w:tabs>
      <w:jc w:val="center"/>
    </w:pPr>
    <w:r>
      <w:drawing>
        <wp:anchor distT="0" distB="0" distL="114300" distR="114300" simplePos="0" relativeHeight="251660288" behindDoc="0" locked="0" layoutInCell="1" allowOverlap="1">
          <wp:simplePos x="0" y="0"/>
          <wp:positionH relativeFrom="page">
            <wp:posOffset>900430</wp:posOffset>
          </wp:positionH>
          <wp:positionV relativeFrom="page">
            <wp:posOffset>540385</wp:posOffset>
          </wp:positionV>
          <wp:extent cx="382905" cy="407670"/>
          <wp:effectExtent l="0" t="0" r="10795" b="1143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anchor>
      </w:drawing>
    </w:r>
  </w:p>
  <w:p w14:paraId="6F0CDF5F">
    <w:pPr>
      <w:pStyle w:val="5"/>
      <w:pBdr>
        <w:bottom w:val="none" w:color="auto" w:sz="0" w:space="1"/>
      </w:pBdr>
      <w:tabs>
        <w:tab w:val="center" w:pos="4536"/>
        <w:tab w:val="clear" w:pos="4153"/>
      </w:tabs>
      <w:jc w:val="center"/>
    </w:pPr>
  </w:p>
  <w:p w14:paraId="1A844E4E">
    <w:pPr>
      <w:pStyle w:val="5"/>
      <w:pBdr>
        <w:bottom w:val="single" w:color="auto" w:sz="4" w:space="0"/>
      </w:pBdr>
      <w:tabs>
        <w:tab w:val="center" w:pos="4536"/>
        <w:tab w:val="clear" w:pos="4153"/>
      </w:tabs>
      <w:jc w:val="center"/>
      <w:rPr>
        <w:rFonts w:hint="eastAsia"/>
      </w:rPr>
    </w:pPr>
    <w:r>
      <w:rPr>
        <w:rFonts w:hint="eastAsia"/>
      </w:rPr>
      <w:t>永兴特种材料科技股份有限公司对外提供财务资助管理制度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B0E96"/>
    <w:multiLevelType w:val="multilevel"/>
    <w:tmpl w:val="29CB0E96"/>
    <w:lvl w:ilvl="0" w:tentative="0">
      <w:start w:val="1"/>
      <w:numFmt w:val="chineseCountingThousand"/>
      <w:lvlText w:val="第%1条"/>
      <w:lvlJc w:val="left"/>
      <w:pPr>
        <w:tabs>
          <w:tab w:val="left" w:pos="816"/>
        </w:tabs>
        <w:ind w:left="816" w:hanging="396"/>
      </w:pPr>
      <w:rPr>
        <w:rFonts w:hint="default" w:ascii="Arial" w:hAnsi="Arial" w:eastAsia="宋体"/>
        <w:b w:val="0"/>
        <w:i w:val="0"/>
        <w:sz w:val="23"/>
        <w:szCs w:val="23"/>
      </w:rPr>
    </w:lvl>
    <w:lvl w:ilvl="1" w:tentative="0">
      <w:start w:val="1"/>
      <w:numFmt w:val="chineseCountingThousand"/>
      <w:lvlText w:val="第%2条"/>
      <w:lvlJc w:val="left"/>
      <w:pPr>
        <w:tabs>
          <w:tab w:val="left" w:pos="816"/>
        </w:tabs>
        <w:ind w:left="816" w:hanging="396"/>
      </w:pPr>
      <w:rPr>
        <w:rFonts w:hint="default" w:ascii="Arial" w:hAnsi="Arial" w:eastAsia="宋体"/>
        <w:b w:val="0"/>
        <w:i w:val="0"/>
        <w:sz w:val="23"/>
        <w:szCs w:val="23"/>
      </w:rPr>
    </w:lvl>
    <w:lvl w:ilvl="2" w:tentative="0">
      <w:start w:val="1"/>
      <w:numFmt w:val="chineseCountingThousand"/>
      <w:lvlText w:val="(%3)"/>
      <w:lvlJc w:val="left"/>
      <w:pPr>
        <w:tabs>
          <w:tab w:val="left" w:pos="1200"/>
        </w:tabs>
        <w:ind w:left="1200" w:hanging="360"/>
      </w:pPr>
      <w:rPr>
        <w:rFonts w:hint="default" w:ascii="Arial" w:hAnsi="Arial" w:eastAsia="宋体"/>
        <w:b w:val="0"/>
        <w:i w:val="0"/>
        <w:sz w:val="23"/>
        <w:szCs w:val="23"/>
      </w:rPr>
    </w:lvl>
    <w:lvl w:ilvl="3" w:tentative="0">
      <w:start w:val="1"/>
      <w:numFmt w:val="japaneseCounting"/>
      <w:lvlText w:val="（%4）"/>
      <w:lvlJc w:val="left"/>
      <w:pPr>
        <w:tabs>
          <w:tab w:val="left" w:pos="1980"/>
        </w:tabs>
        <w:ind w:left="1980" w:hanging="720"/>
      </w:pPr>
      <w:rPr>
        <w:rFonts w:ascii="宋体" w:hAnsi="宋体" w:eastAsia="宋体" w:cs="Arial"/>
      </w:rPr>
    </w:lvl>
    <w:lvl w:ilvl="4" w:tentative="0">
      <w:start w:val="1"/>
      <w:numFmt w:val="japaneseCounting"/>
      <w:lvlText w:val="(%5)"/>
      <w:lvlJc w:val="left"/>
      <w:pPr>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070076"/>
    <w:multiLevelType w:val="multilevel"/>
    <w:tmpl w:val="44070076"/>
    <w:lvl w:ilvl="0" w:tentative="0">
      <w:start w:val="1"/>
      <w:numFmt w:val="japaneseCounting"/>
      <w:lvlText w:val="第%1章"/>
      <w:lvlJc w:val="left"/>
      <w:pPr>
        <w:tabs>
          <w:tab w:val="left" w:pos="4260"/>
        </w:tabs>
        <w:ind w:left="4260" w:hanging="825"/>
      </w:pPr>
      <w:rPr>
        <w:rFonts w:hint="eastAsia" w:ascii="黑体" w:hAnsi="宋体" w:eastAsia="黑体"/>
        <w:b/>
      </w:rPr>
    </w:lvl>
    <w:lvl w:ilvl="1" w:tentative="0">
      <w:start w:val="1"/>
      <w:numFmt w:val="japaneseCounting"/>
      <w:lvlText w:val="第%2条"/>
      <w:lvlJc w:val="left"/>
      <w:pPr>
        <w:tabs>
          <w:tab w:val="left" w:pos="4575"/>
        </w:tabs>
        <w:ind w:left="4575" w:hanging="720"/>
      </w:pPr>
      <w:rPr>
        <w:rFonts w:hint="default"/>
      </w:rPr>
    </w:lvl>
    <w:lvl w:ilvl="2" w:tentative="0">
      <w:start w:val="1"/>
      <w:numFmt w:val="lowerRoman"/>
      <w:lvlText w:val="%3."/>
      <w:lvlJc w:val="right"/>
      <w:pPr>
        <w:tabs>
          <w:tab w:val="left" w:pos="4695"/>
        </w:tabs>
        <w:ind w:left="4695" w:hanging="420"/>
      </w:pPr>
    </w:lvl>
    <w:lvl w:ilvl="3" w:tentative="0">
      <w:start w:val="1"/>
      <w:numFmt w:val="decimal"/>
      <w:lvlText w:val="%4."/>
      <w:lvlJc w:val="left"/>
      <w:pPr>
        <w:tabs>
          <w:tab w:val="left" w:pos="5115"/>
        </w:tabs>
        <w:ind w:left="5115" w:hanging="420"/>
      </w:pPr>
    </w:lvl>
    <w:lvl w:ilvl="4" w:tentative="0">
      <w:start w:val="1"/>
      <w:numFmt w:val="lowerLetter"/>
      <w:lvlText w:val="%5)"/>
      <w:lvlJc w:val="left"/>
      <w:pPr>
        <w:tabs>
          <w:tab w:val="left" w:pos="5535"/>
        </w:tabs>
        <w:ind w:left="5535" w:hanging="420"/>
      </w:pPr>
    </w:lvl>
    <w:lvl w:ilvl="5" w:tentative="0">
      <w:start w:val="1"/>
      <w:numFmt w:val="lowerRoman"/>
      <w:lvlText w:val="%6."/>
      <w:lvlJc w:val="right"/>
      <w:pPr>
        <w:tabs>
          <w:tab w:val="left" w:pos="5955"/>
        </w:tabs>
        <w:ind w:left="5955" w:hanging="420"/>
      </w:pPr>
    </w:lvl>
    <w:lvl w:ilvl="6" w:tentative="0">
      <w:start w:val="1"/>
      <w:numFmt w:val="decimal"/>
      <w:lvlText w:val="%7."/>
      <w:lvlJc w:val="left"/>
      <w:pPr>
        <w:tabs>
          <w:tab w:val="left" w:pos="6375"/>
        </w:tabs>
        <w:ind w:left="6375" w:hanging="420"/>
      </w:pPr>
    </w:lvl>
    <w:lvl w:ilvl="7" w:tentative="0">
      <w:start w:val="1"/>
      <w:numFmt w:val="lowerLetter"/>
      <w:lvlText w:val="%8)"/>
      <w:lvlJc w:val="left"/>
      <w:pPr>
        <w:tabs>
          <w:tab w:val="left" w:pos="6795"/>
        </w:tabs>
        <w:ind w:left="6795" w:hanging="420"/>
      </w:pPr>
    </w:lvl>
    <w:lvl w:ilvl="8" w:tentative="0">
      <w:start w:val="1"/>
      <w:numFmt w:val="lowerRoman"/>
      <w:lvlText w:val="%9."/>
      <w:lvlJc w:val="right"/>
      <w:pPr>
        <w:tabs>
          <w:tab w:val="left" w:pos="7215"/>
        </w:tabs>
        <w:ind w:left="7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F1"/>
    <w:rsid w:val="00000E84"/>
    <w:rsid w:val="0000138F"/>
    <w:rsid w:val="0000184D"/>
    <w:rsid w:val="0001227D"/>
    <w:rsid w:val="000222D2"/>
    <w:rsid w:val="00024814"/>
    <w:rsid w:val="00032C35"/>
    <w:rsid w:val="00044712"/>
    <w:rsid w:val="00050444"/>
    <w:rsid w:val="00065774"/>
    <w:rsid w:val="00066EFB"/>
    <w:rsid w:val="0008424D"/>
    <w:rsid w:val="0009536D"/>
    <w:rsid w:val="00097899"/>
    <w:rsid w:val="000B1287"/>
    <w:rsid w:val="000B4C33"/>
    <w:rsid w:val="000B4FA1"/>
    <w:rsid w:val="000B56C9"/>
    <w:rsid w:val="000C4609"/>
    <w:rsid w:val="000D1E2C"/>
    <w:rsid w:val="000D587B"/>
    <w:rsid w:val="000D6799"/>
    <w:rsid w:val="000E71C4"/>
    <w:rsid w:val="000F2E93"/>
    <w:rsid w:val="000F2FD5"/>
    <w:rsid w:val="00107AAC"/>
    <w:rsid w:val="0011763D"/>
    <w:rsid w:val="00133778"/>
    <w:rsid w:val="00135A34"/>
    <w:rsid w:val="00147737"/>
    <w:rsid w:val="00151D09"/>
    <w:rsid w:val="00157EAE"/>
    <w:rsid w:val="00162B8B"/>
    <w:rsid w:val="00177E76"/>
    <w:rsid w:val="001928BD"/>
    <w:rsid w:val="00192E70"/>
    <w:rsid w:val="001A036A"/>
    <w:rsid w:val="001A19F9"/>
    <w:rsid w:val="001A6C67"/>
    <w:rsid w:val="001D10A5"/>
    <w:rsid w:val="001D621F"/>
    <w:rsid w:val="001D6C3A"/>
    <w:rsid w:val="001F7875"/>
    <w:rsid w:val="002049BD"/>
    <w:rsid w:val="00207CD0"/>
    <w:rsid w:val="0021098B"/>
    <w:rsid w:val="00214182"/>
    <w:rsid w:val="0021585F"/>
    <w:rsid w:val="002276DF"/>
    <w:rsid w:val="00232F62"/>
    <w:rsid w:val="00235C9C"/>
    <w:rsid w:val="0025524A"/>
    <w:rsid w:val="00275452"/>
    <w:rsid w:val="00280053"/>
    <w:rsid w:val="00285413"/>
    <w:rsid w:val="002A567F"/>
    <w:rsid w:val="002A6027"/>
    <w:rsid w:val="002B5182"/>
    <w:rsid w:val="002B6075"/>
    <w:rsid w:val="002C04DF"/>
    <w:rsid w:val="002D2FD6"/>
    <w:rsid w:val="002D463E"/>
    <w:rsid w:val="002D6C87"/>
    <w:rsid w:val="00306975"/>
    <w:rsid w:val="003072D1"/>
    <w:rsid w:val="00316227"/>
    <w:rsid w:val="00330108"/>
    <w:rsid w:val="003337CE"/>
    <w:rsid w:val="00335FAB"/>
    <w:rsid w:val="003453C6"/>
    <w:rsid w:val="00357EA7"/>
    <w:rsid w:val="00385F69"/>
    <w:rsid w:val="00387A50"/>
    <w:rsid w:val="003A456A"/>
    <w:rsid w:val="003A6AD8"/>
    <w:rsid w:val="003B2E38"/>
    <w:rsid w:val="003C7006"/>
    <w:rsid w:val="003C7559"/>
    <w:rsid w:val="003C7EE9"/>
    <w:rsid w:val="003D41F9"/>
    <w:rsid w:val="003F2BDB"/>
    <w:rsid w:val="003F4C60"/>
    <w:rsid w:val="00400F5B"/>
    <w:rsid w:val="004042ED"/>
    <w:rsid w:val="00406B90"/>
    <w:rsid w:val="0041099F"/>
    <w:rsid w:val="004220AB"/>
    <w:rsid w:val="004335D7"/>
    <w:rsid w:val="00435115"/>
    <w:rsid w:val="00441912"/>
    <w:rsid w:val="00464694"/>
    <w:rsid w:val="00464BF5"/>
    <w:rsid w:val="00480C62"/>
    <w:rsid w:val="00483F82"/>
    <w:rsid w:val="0048545D"/>
    <w:rsid w:val="00493183"/>
    <w:rsid w:val="004B2582"/>
    <w:rsid w:val="004B2C1E"/>
    <w:rsid w:val="004B7CC2"/>
    <w:rsid w:val="004C5D36"/>
    <w:rsid w:val="004C7FB1"/>
    <w:rsid w:val="004D3FE7"/>
    <w:rsid w:val="004E12DE"/>
    <w:rsid w:val="004E1703"/>
    <w:rsid w:val="00510867"/>
    <w:rsid w:val="005148E6"/>
    <w:rsid w:val="00526264"/>
    <w:rsid w:val="00531A53"/>
    <w:rsid w:val="00537850"/>
    <w:rsid w:val="00541947"/>
    <w:rsid w:val="005428A5"/>
    <w:rsid w:val="00563486"/>
    <w:rsid w:val="005676D4"/>
    <w:rsid w:val="00567DFB"/>
    <w:rsid w:val="00575DD1"/>
    <w:rsid w:val="005816F1"/>
    <w:rsid w:val="005839E5"/>
    <w:rsid w:val="005A0036"/>
    <w:rsid w:val="005A26D3"/>
    <w:rsid w:val="005B0A92"/>
    <w:rsid w:val="005B2F01"/>
    <w:rsid w:val="005C0553"/>
    <w:rsid w:val="005D02A9"/>
    <w:rsid w:val="005E4A51"/>
    <w:rsid w:val="005E5D36"/>
    <w:rsid w:val="005F0345"/>
    <w:rsid w:val="005F1284"/>
    <w:rsid w:val="005F38A1"/>
    <w:rsid w:val="00600193"/>
    <w:rsid w:val="006062C1"/>
    <w:rsid w:val="00610943"/>
    <w:rsid w:val="00623C89"/>
    <w:rsid w:val="006255B5"/>
    <w:rsid w:val="006256A2"/>
    <w:rsid w:val="00630C3D"/>
    <w:rsid w:val="0063307D"/>
    <w:rsid w:val="00635096"/>
    <w:rsid w:val="00641428"/>
    <w:rsid w:val="006509F6"/>
    <w:rsid w:val="00651951"/>
    <w:rsid w:val="00672DB4"/>
    <w:rsid w:val="0067470E"/>
    <w:rsid w:val="0067717B"/>
    <w:rsid w:val="006B72E5"/>
    <w:rsid w:val="006C0048"/>
    <w:rsid w:val="006C22F3"/>
    <w:rsid w:val="006C524F"/>
    <w:rsid w:val="006C7BCD"/>
    <w:rsid w:val="006C7BF6"/>
    <w:rsid w:val="006D0AAB"/>
    <w:rsid w:val="006E03D5"/>
    <w:rsid w:val="006E224A"/>
    <w:rsid w:val="00700FA2"/>
    <w:rsid w:val="00715F0F"/>
    <w:rsid w:val="0072634E"/>
    <w:rsid w:val="00732191"/>
    <w:rsid w:val="0074429D"/>
    <w:rsid w:val="0075525B"/>
    <w:rsid w:val="007555EB"/>
    <w:rsid w:val="0075603C"/>
    <w:rsid w:val="00762AA5"/>
    <w:rsid w:val="0076387A"/>
    <w:rsid w:val="00765DF4"/>
    <w:rsid w:val="007670B1"/>
    <w:rsid w:val="0078579B"/>
    <w:rsid w:val="00793ADB"/>
    <w:rsid w:val="00794E4B"/>
    <w:rsid w:val="00795A85"/>
    <w:rsid w:val="007A3642"/>
    <w:rsid w:val="007A7D45"/>
    <w:rsid w:val="007B1634"/>
    <w:rsid w:val="007B24F0"/>
    <w:rsid w:val="007C1530"/>
    <w:rsid w:val="007C739C"/>
    <w:rsid w:val="007E4509"/>
    <w:rsid w:val="007E4B47"/>
    <w:rsid w:val="007F5A0F"/>
    <w:rsid w:val="00800443"/>
    <w:rsid w:val="00806DFC"/>
    <w:rsid w:val="00822749"/>
    <w:rsid w:val="008254C1"/>
    <w:rsid w:val="008336F9"/>
    <w:rsid w:val="00833BF2"/>
    <w:rsid w:val="00845D60"/>
    <w:rsid w:val="008536A0"/>
    <w:rsid w:val="008640A0"/>
    <w:rsid w:val="00867B6C"/>
    <w:rsid w:val="00880E5B"/>
    <w:rsid w:val="00883E62"/>
    <w:rsid w:val="008850C7"/>
    <w:rsid w:val="008A1F59"/>
    <w:rsid w:val="008A342B"/>
    <w:rsid w:val="008B15C1"/>
    <w:rsid w:val="008B69F6"/>
    <w:rsid w:val="008D00E3"/>
    <w:rsid w:val="008D65D1"/>
    <w:rsid w:val="008E5C59"/>
    <w:rsid w:val="009011A6"/>
    <w:rsid w:val="00901C68"/>
    <w:rsid w:val="00903950"/>
    <w:rsid w:val="00912D55"/>
    <w:rsid w:val="00912E09"/>
    <w:rsid w:val="00932D98"/>
    <w:rsid w:val="00936A1D"/>
    <w:rsid w:val="00943F43"/>
    <w:rsid w:val="00952A95"/>
    <w:rsid w:val="00960561"/>
    <w:rsid w:val="00962720"/>
    <w:rsid w:val="009721F3"/>
    <w:rsid w:val="00983BA3"/>
    <w:rsid w:val="00985803"/>
    <w:rsid w:val="00987981"/>
    <w:rsid w:val="00993AF1"/>
    <w:rsid w:val="009A57C8"/>
    <w:rsid w:val="009B1223"/>
    <w:rsid w:val="009B3F5F"/>
    <w:rsid w:val="009C68CA"/>
    <w:rsid w:val="009D1530"/>
    <w:rsid w:val="009D776C"/>
    <w:rsid w:val="009F3ADF"/>
    <w:rsid w:val="00A049D9"/>
    <w:rsid w:val="00A149EB"/>
    <w:rsid w:val="00A166B6"/>
    <w:rsid w:val="00A201BD"/>
    <w:rsid w:val="00A205B9"/>
    <w:rsid w:val="00A31FC6"/>
    <w:rsid w:val="00A41AB9"/>
    <w:rsid w:val="00A44472"/>
    <w:rsid w:val="00A56CEA"/>
    <w:rsid w:val="00A61C71"/>
    <w:rsid w:val="00A6546D"/>
    <w:rsid w:val="00A825AA"/>
    <w:rsid w:val="00A82896"/>
    <w:rsid w:val="00A9076F"/>
    <w:rsid w:val="00A958B6"/>
    <w:rsid w:val="00AA2AA6"/>
    <w:rsid w:val="00AB1B2E"/>
    <w:rsid w:val="00AB3891"/>
    <w:rsid w:val="00AC0769"/>
    <w:rsid w:val="00AC721B"/>
    <w:rsid w:val="00AC7CC7"/>
    <w:rsid w:val="00AD22A0"/>
    <w:rsid w:val="00AD2601"/>
    <w:rsid w:val="00AD75B4"/>
    <w:rsid w:val="00AE47E4"/>
    <w:rsid w:val="00AE5EC7"/>
    <w:rsid w:val="00AF2544"/>
    <w:rsid w:val="00AF35D4"/>
    <w:rsid w:val="00B009E9"/>
    <w:rsid w:val="00B00DE7"/>
    <w:rsid w:val="00B03F86"/>
    <w:rsid w:val="00B06F55"/>
    <w:rsid w:val="00B13566"/>
    <w:rsid w:val="00B35EF9"/>
    <w:rsid w:val="00B420F0"/>
    <w:rsid w:val="00B53D12"/>
    <w:rsid w:val="00B57910"/>
    <w:rsid w:val="00B7146A"/>
    <w:rsid w:val="00B75C21"/>
    <w:rsid w:val="00B77832"/>
    <w:rsid w:val="00BA050B"/>
    <w:rsid w:val="00BA3393"/>
    <w:rsid w:val="00BB09A5"/>
    <w:rsid w:val="00BB6C97"/>
    <w:rsid w:val="00BC6034"/>
    <w:rsid w:val="00BD44BA"/>
    <w:rsid w:val="00BE0386"/>
    <w:rsid w:val="00BE1795"/>
    <w:rsid w:val="00BE5C2F"/>
    <w:rsid w:val="00BF3146"/>
    <w:rsid w:val="00BF55FC"/>
    <w:rsid w:val="00BF6B63"/>
    <w:rsid w:val="00C04533"/>
    <w:rsid w:val="00C07183"/>
    <w:rsid w:val="00C14C29"/>
    <w:rsid w:val="00C21508"/>
    <w:rsid w:val="00C21FC9"/>
    <w:rsid w:val="00C24CEE"/>
    <w:rsid w:val="00C27DA1"/>
    <w:rsid w:val="00C307D2"/>
    <w:rsid w:val="00C351EE"/>
    <w:rsid w:val="00C36A0F"/>
    <w:rsid w:val="00C45DB9"/>
    <w:rsid w:val="00C57996"/>
    <w:rsid w:val="00C61865"/>
    <w:rsid w:val="00C7114B"/>
    <w:rsid w:val="00C73507"/>
    <w:rsid w:val="00C775BC"/>
    <w:rsid w:val="00C90BD2"/>
    <w:rsid w:val="00CA2A9B"/>
    <w:rsid w:val="00CA3B9C"/>
    <w:rsid w:val="00CB6A96"/>
    <w:rsid w:val="00CC58A2"/>
    <w:rsid w:val="00CD0890"/>
    <w:rsid w:val="00CD3D7D"/>
    <w:rsid w:val="00CD49C5"/>
    <w:rsid w:val="00CD6DE3"/>
    <w:rsid w:val="00CE017E"/>
    <w:rsid w:val="00CE04D5"/>
    <w:rsid w:val="00D01907"/>
    <w:rsid w:val="00D05617"/>
    <w:rsid w:val="00D06907"/>
    <w:rsid w:val="00D30385"/>
    <w:rsid w:val="00D33133"/>
    <w:rsid w:val="00D347F1"/>
    <w:rsid w:val="00D34A36"/>
    <w:rsid w:val="00D35DCB"/>
    <w:rsid w:val="00D44F3D"/>
    <w:rsid w:val="00D4598B"/>
    <w:rsid w:val="00D52A54"/>
    <w:rsid w:val="00D6040F"/>
    <w:rsid w:val="00D60954"/>
    <w:rsid w:val="00D75A68"/>
    <w:rsid w:val="00D77AC1"/>
    <w:rsid w:val="00D85FE9"/>
    <w:rsid w:val="00D877E8"/>
    <w:rsid w:val="00DA02E4"/>
    <w:rsid w:val="00DA195A"/>
    <w:rsid w:val="00DA6191"/>
    <w:rsid w:val="00DC1A7F"/>
    <w:rsid w:val="00DE63C0"/>
    <w:rsid w:val="00DF4439"/>
    <w:rsid w:val="00E00B80"/>
    <w:rsid w:val="00E01420"/>
    <w:rsid w:val="00E0209E"/>
    <w:rsid w:val="00E045D4"/>
    <w:rsid w:val="00E1186B"/>
    <w:rsid w:val="00E14B6A"/>
    <w:rsid w:val="00E261BA"/>
    <w:rsid w:val="00E263D0"/>
    <w:rsid w:val="00E319CD"/>
    <w:rsid w:val="00E47853"/>
    <w:rsid w:val="00E506FC"/>
    <w:rsid w:val="00E579DD"/>
    <w:rsid w:val="00E63A5E"/>
    <w:rsid w:val="00E6544B"/>
    <w:rsid w:val="00E84210"/>
    <w:rsid w:val="00E84DF9"/>
    <w:rsid w:val="00E91A9C"/>
    <w:rsid w:val="00EA0BA5"/>
    <w:rsid w:val="00EA4A69"/>
    <w:rsid w:val="00EB08C7"/>
    <w:rsid w:val="00EB2011"/>
    <w:rsid w:val="00EC1E4E"/>
    <w:rsid w:val="00ED6CD5"/>
    <w:rsid w:val="00EF7282"/>
    <w:rsid w:val="00F022B8"/>
    <w:rsid w:val="00F03C52"/>
    <w:rsid w:val="00F10166"/>
    <w:rsid w:val="00F10362"/>
    <w:rsid w:val="00F10476"/>
    <w:rsid w:val="00F11E88"/>
    <w:rsid w:val="00F14561"/>
    <w:rsid w:val="00F373F5"/>
    <w:rsid w:val="00F41B5D"/>
    <w:rsid w:val="00F41BFE"/>
    <w:rsid w:val="00F45A0D"/>
    <w:rsid w:val="00F46573"/>
    <w:rsid w:val="00F5482E"/>
    <w:rsid w:val="00F54AAE"/>
    <w:rsid w:val="00F56E84"/>
    <w:rsid w:val="00F603C0"/>
    <w:rsid w:val="00F612C1"/>
    <w:rsid w:val="00F61521"/>
    <w:rsid w:val="00F70BF5"/>
    <w:rsid w:val="00F72CC1"/>
    <w:rsid w:val="00F7653D"/>
    <w:rsid w:val="00F86885"/>
    <w:rsid w:val="00FA46BA"/>
    <w:rsid w:val="00FB3A3F"/>
    <w:rsid w:val="00FC2006"/>
    <w:rsid w:val="00FC2B24"/>
    <w:rsid w:val="00FF1A32"/>
    <w:rsid w:val="00FF4C9E"/>
    <w:rsid w:val="00FF7781"/>
    <w:rsid w:val="027564D5"/>
    <w:rsid w:val="0DD154EB"/>
    <w:rsid w:val="1770732E"/>
    <w:rsid w:val="18F25DD8"/>
    <w:rsid w:val="63665EBB"/>
    <w:rsid w:val="7E1B18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link w:val="12"/>
    <w:uiPriority w:val="0"/>
    <w:pPr>
      <w:jc w:val="left"/>
    </w:p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字符"/>
    <w:link w:val="2"/>
    <w:uiPriority w:val="0"/>
    <w:rPr>
      <w:kern w:val="2"/>
      <w:sz w:val="21"/>
      <w:szCs w:val="24"/>
    </w:rPr>
  </w:style>
  <w:style w:type="character" w:customStyle="1" w:styleId="13">
    <w:name w:val="页眉 字符"/>
    <w:link w:val="5"/>
    <w:qFormat/>
    <w:uiPriority w:val="0"/>
    <w:rPr>
      <w:rFonts w:eastAsia="宋体"/>
      <w:kern w:val="2"/>
      <w:sz w:val="18"/>
      <w:szCs w:val="18"/>
      <w:lang w:val="en-US" w:eastAsia="zh-CN" w:bidi="ar-SA"/>
    </w:rPr>
  </w:style>
  <w:style w:type="character" w:customStyle="1" w:styleId="14">
    <w:name w:val="批注主题 字符"/>
    <w:link w:val="6"/>
    <w:qFormat/>
    <w:uiPriority w:val="0"/>
    <w:rPr>
      <w:b/>
      <w:bCs/>
      <w:kern w:val="2"/>
      <w:sz w:val="21"/>
      <w:szCs w:val="24"/>
    </w:rPr>
  </w:style>
  <w:style w:type="paragraph" w:customStyle="1" w:styleId="15">
    <w:name w:val=" Char Char Char Char1 Char Char Char Char Char Char Char Char Char1 Char Char Char Char Char Char Char Char Char Char Char Char"/>
    <w:basedOn w:val="1"/>
    <w:uiPriority w:val="0"/>
    <w:pPr>
      <w:widowControl/>
      <w:spacing w:after="160" w:line="240" w:lineRule="exact"/>
      <w:jc w:val="left"/>
    </w:pPr>
    <w:rPr>
      <w:kern w:val="0"/>
      <w:sz w:val="20"/>
      <w:szCs w:val="20"/>
    </w:rPr>
  </w:style>
  <w:style w:type="paragraph" w:customStyle="1" w:styleId="16">
    <w:name w:val=" Char"/>
    <w:basedOn w:val="1"/>
    <w:qFormat/>
    <w:uiPriority w:val="0"/>
    <w:pPr>
      <w:widowControl/>
      <w:spacing w:after="160" w:line="240" w:lineRule="exact"/>
      <w:jc w:val="left"/>
    </w:pPr>
    <w:rPr>
      <w:kern w:val="0"/>
      <w:sz w:val="20"/>
      <w:szCs w:val="20"/>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CM1"/>
    <w:basedOn w:val="17"/>
    <w:next w:val="17"/>
    <w:uiPriority w:val="0"/>
    <w:pPr>
      <w:spacing w:line="468" w:lineRule="atLeast"/>
    </w:pPr>
    <w:rPr>
      <w:color w:val="auto"/>
    </w:rPr>
  </w:style>
  <w:style w:type="paragraph" w:customStyle="1" w:styleId="19">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2231</Words>
  <Characters>2237</Characters>
  <Lines>27</Lines>
  <Paragraphs>7</Paragraphs>
  <TotalTime>4</TotalTime>
  <ScaleCrop>false</ScaleCrop>
  <LinksUpToDate>false</LinksUpToDate>
  <CharactersWithSpaces>2249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2015-06-06T05:43:00Z</dcterms:created>
  <dc:creator>Llinks</dc:creator>
  <cp:lastModifiedBy>lln</cp:lastModifiedBy>
  <cp:lastPrinted>2016-12-05T08:33:00Z</cp:lastPrinted>
  <dcterms:modified xsi:type="dcterms:W3CDTF">2025-09-02T02:58:08Z</dcterms:modified>
  <dc:title>议案十四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0EE9FE0E679F47C0A48F030E563FF2DD_13</vt:lpwstr>
  </property>
</Properties>
</file>