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74A23">
      <w:pPr>
        <w:spacing w:after="120" w:afterLines="50" w:line="440" w:lineRule="exact"/>
        <w:jc w:val="center"/>
        <w:rPr>
          <w:rFonts w:ascii="宋体" w:hAnsi="宋体" w:eastAsia="宋体" w:cs="宋体"/>
          <w:b/>
          <w:color w:val="000000"/>
          <w:sz w:val="32"/>
          <w:szCs w:val="32"/>
        </w:rPr>
      </w:pPr>
    </w:p>
    <w:p w14:paraId="30BFB850">
      <w:pPr>
        <w:spacing w:after="120" w:afterLines="50" w:line="440" w:lineRule="exact"/>
        <w:jc w:val="center"/>
        <w:rPr>
          <w:rFonts w:ascii="宋体" w:hAnsi="宋体" w:eastAsia="宋体" w:cs="宋体"/>
          <w:sz w:val="32"/>
          <w:szCs w:val="32"/>
        </w:rPr>
      </w:pPr>
      <w:r>
        <w:rPr>
          <w:rFonts w:hint="eastAsia" w:ascii="宋体" w:hAnsi="宋体" w:eastAsia="宋体" w:cs="宋体"/>
          <w:b/>
          <w:color w:val="000000"/>
          <w:sz w:val="32"/>
          <w:szCs w:val="32"/>
        </w:rPr>
        <w:t>永兴特种材料科技股份有限公司</w:t>
      </w:r>
    </w:p>
    <w:p w14:paraId="1DC9D43C">
      <w:pPr>
        <w:spacing w:after="240" w:afterLines="100" w:line="440" w:lineRule="exact"/>
        <w:jc w:val="center"/>
        <w:rPr>
          <w:rFonts w:ascii="宋体" w:hAnsi="宋体" w:eastAsia="宋体" w:cs="宋体"/>
          <w:sz w:val="32"/>
          <w:szCs w:val="32"/>
        </w:rPr>
      </w:pPr>
      <w:r>
        <w:rPr>
          <w:rFonts w:hint="eastAsia" w:ascii="宋体" w:hAnsi="宋体" w:eastAsia="宋体" w:cs="宋体"/>
          <w:b/>
          <w:color w:val="000000"/>
          <w:sz w:val="32"/>
          <w:szCs w:val="32"/>
        </w:rPr>
        <w:t>套期保值业务管理制度</w:t>
      </w:r>
    </w:p>
    <w:p w14:paraId="71C0F075">
      <w:pPr>
        <w:spacing w:line="480" w:lineRule="exact"/>
        <w:jc w:val="center"/>
        <w:outlineLvl w:val="0"/>
        <w:rPr>
          <w:rFonts w:ascii="宋体" w:hAnsi="宋体" w:eastAsia="宋体" w:cs="宋体"/>
          <w:sz w:val="24"/>
          <w:szCs w:val="24"/>
        </w:rPr>
      </w:pPr>
      <w:r>
        <w:rPr>
          <w:rFonts w:hint="eastAsia" w:ascii="宋体" w:hAnsi="宋体" w:eastAsia="宋体" w:cs="宋体"/>
          <w:b/>
          <w:color w:val="000000"/>
          <w:sz w:val="24"/>
          <w:szCs w:val="24"/>
        </w:rPr>
        <w:t>第一章 总则</w:t>
      </w:r>
    </w:p>
    <w:p w14:paraId="6BA05460">
      <w:pPr>
        <w:spacing w:line="480" w:lineRule="exact"/>
        <w:ind w:firstLine="480"/>
        <w:rPr>
          <w:rFonts w:ascii="宋体" w:hAnsi="宋体" w:eastAsia="宋体" w:cs="宋体"/>
          <w:sz w:val="24"/>
          <w:szCs w:val="24"/>
        </w:rPr>
      </w:pPr>
      <w:r>
        <w:rPr>
          <w:rFonts w:hint="eastAsia" w:ascii="宋体" w:hAnsi="宋体" w:eastAsia="宋体" w:cs="宋体"/>
          <w:color w:val="000000"/>
          <w:sz w:val="24"/>
          <w:szCs w:val="24"/>
        </w:rPr>
        <w:t>第一条 为规范永兴特种材料科技股份有限公司（以下简称“公司”）套期保值业务，有效防范和化解风险，根据《中华人民共和国公司法》《中华人民共和国证券法》《深圳证券交易所股票上市规则》《深圳证券交易所上市公司自律监管指引第1号--主板上市公司规范运作》《深圳证券交易所上市公司自律监管指引第7号—交易与关联交易》《上市公司信息披露管理办法》及《公司章程》等有关规定，结合公司具体实际，特制定本制度。</w:t>
      </w:r>
    </w:p>
    <w:p w14:paraId="08C11064">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第二条 本制度适用于公司、全资子公司及控股子公司。全资或控股子公司的套期保值业务由公司进行统一管理，未经公司审批同意，公司及控股子公司不得操作该业务。</w:t>
      </w:r>
    </w:p>
    <w:p w14:paraId="46A27BC6">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第三条 本制度所称套期保值业务,是指通过境内外期货交易所或其他合法经营机构进行的，以锁定公司生产采购成本、实现预销售或规避存货跌价风险为目的进行的期货及其衍生品交易。本制度所称期货交易,是指以期货合约或者标准化期权合约为交易标的的交易活动；本制度所称衍生品交易,是指期货交易以外的，以互换合约、远期合约和非标准化期权合约及其组合为交易标的的交易活动。</w:t>
      </w:r>
    </w:p>
    <w:p w14:paraId="076863EF">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第四条 公司进行套期保值业务，应遵循以下原则：</w:t>
      </w:r>
    </w:p>
    <w:p w14:paraId="35EC9595">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（一）公司进行套期保值业务，只能以规避生产经营所需原材料及生产产品价格波动等风险为目的，不得进行投机和套利交易。</w:t>
      </w:r>
    </w:p>
    <w:p w14:paraId="1F809D1B">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（二）公司从事套期保值业务的品种，只限于与公司生产经营直接相关的产品。</w:t>
      </w:r>
    </w:p>
    <w:p w14:paraId="0D02C6B8">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（三）公司进行套期保值的数量原则上不得超过实际现货交易的数量，期货持仓量应不超过套期保值的现货量。</w:t>
      </w:r>
    </w:p>
    <w:p w14:paraId="6B696581">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（四）公司应当以自己的名义设立套期保值交易账户，不得使用他人账户进行套期保值业务。</w:t>
      </w:r>
    </w:p>
    <w:p w14:paraId="0593831B">
      <w:pPr>
        <w:spacing w:line="480" w:lineRule="exact"/>
        <w:ind w:firstLine="480"/>
        <w:jc w:val="left"/>
        <w:rPr>
          <w:rFonts w:ascii="宋体" w:hAnsi="宋体" w:eastAsia="宋体" w:cs="宋体"/>
          <w:b/>
          <w:color w:val="000000"/>
          <w:sz w:val="24"/>
          <w:szCs w:val="24"/>
        </w:rPr>
      </w:pPr>
      <w:r>
        <w:rPr>
          <w:rFonts w:hint="eastAsia" w:ascii="宋体" w:hAnsi="宋体" w:eastAsia="宋体" w:cs="宋体"/>
          <w:color w:val="000000"/>
          <w:sz w:val="24"/>
          <w:szCs w:val="24"/>
        </w:rPr>
        <w:t>（五）公司应具有与套期保值保证金、权利金相匹配的自有资金，不得使用募集资金直接或间接进行套期保值。公司应严格控制套期保值的资金规模，不得影响公司正常经营。</w:t>
      </w:r>
    </w:p>
    <w:p w14:paraId="45738725">
      <w:pPr>
        <w:spacing w:line="480" w:lineRule="exact"/>
        <w:ind w:firstLine="480"/>
        <w:jc w:val="center"/>
        <w:outlineLvl w:val="0"/>
        <w:rPr>
          <w:rFonts w:ascii="宋体" w:hAnsi="宋体" w:eastAsia="宋体" w:cs="宋体"/>
          <w:sz w:val="24"/>
          <w:szCs w:val="24"/>
        </w:rPr>
      </w:pPr>
      <w:r>
        <w:rPr>
          <w:rFonts w:hint="eastAsia" w:ascii="宋体" w:hAnsi="宋体" w:eastAsia="宋体" w:cs="宋体"/>
          <w:b/>
          <w:color w:val="000000"/>
          <w:sz w:val="24"/>
          <w:szCs w:val="24"/>
        </w:rPr>
        <w:t>第二章 组织机构</w:t>
      </w:r>
    </w:p>
    <w:p w14:paraId="203F7500">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第五条 公司套期保值领导小组为公司套期保值业务的决策机构。公司董事会授权经营管理层组织建立套期保值领导小组并行使套期保值业务管理职责。公司董事会审计委员会应对套期保值业务的必要性、可行性及风险控制情况进行审查，必要时可聘请专业机构出具可行性分析报告。董事会审计委员会应加强对套期保值业务相关风险控制政策和程序的评价与监督，及时识别相关内部控制缺陷并采取补救措施。</w:t>
      </w:r>
    </w:p>
    <w:p w14:paraId="38FFF8CB">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第六条 套期保值领导小组的职责为：</w:t>
      </w:r>
    </w:p>
    <w:p w14:paraId="4D7ACAC7">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（一）负责召开套期保值领导小组会议，制订年度套期保值计划，并提交董事会审议；</w:t>
      </w:r>
    </w:p>
    <w:p w14:paraId="7A21938A">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（二）听取执行组的调研工作报告，批准授权范围内的套期保值业务方案；</w:t>
      </w:r>
    </w:p>
    <w:p w14:paraId="691F17DF">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（三）负责审定公司套期保值管理工作的各项具体规章制度，决定工作原则和方针；</w:t>
      </w:r>
    </w:p>
    <w:p w14:paraId="469D8320">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（四）负责交易风险的应急处理；</w:t>
      </w:r>
    </w:p>
    <w:p w14:paraId="0DDAE6B3">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（五）负责对公司从事套期保值业务进行监督管理，对公司套期保值业务的风险管理负</w:t>
      </w:r>
      <w:r>
        <w:rPr>
          <w:rFonts w:hint="eastAsia" w:ascii="宋体" w:hAnsi="宋体" w:eastAsia="宋体" w:cs="宋体"/>
          <w:color w:val="000000"/>
          <w:sz w:val="24"/>
          <w:szCs w:val="24"/>
          <w:lang w:val="en-US" w:eastAsia="zh-CN"/>
        </w:rPr>
        <w:t>责</w:t>
      </w:r>
      <w:r>
        <w:rPr>
          <w:rFonts w:hint="eastAsia" w:ascii="宋体" w:hAnsi="宋体" w:eastAsia="宋体" w:cs="宋体"/>
          <w:color w:val="000000"/>
          <w:sz w:val="24"/>
          <w:szCs w:val="24"/>
        </w:rPr>
        <w:t>；</w:t>
      </w:r>
      <w:bookmarkStart w:id="0" w:name="_GoBack"/>
      <w:bookmarkEnd w:id="0"/>
    </w:p>
    <w:p w14:paraId="7368B683">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六）跟踪套期保值业务公开市场价格或者公允价值的变化，及时跟踪套期保值业务与已识别风险敞口对冲后的净敞口价值变动，并向管理层和董事会报告套期保值业务授权执行情况、交易头寸情况、风险评估结果、交易盈亏状况、止损规定执行情况等，对套期保值效果进行持续评估。</w:t>
      </w:r>
    </w:p>
    <w:p w14:paraId="7C54B608">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第七条 套期保值领导小组下设“执行组”和“风控组”。</w:t>
      </w:r>
    </w:p>
    <w:p w14:paraId="38E381D4">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第八条“执行组”主要职责：</w:t>
      </w:r>
    </w:p>
    <w:p w14:paraId="5560DA75">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（一）负责市场供求分析，及时报告市场价格趋势与需求动态，编制套期保值业务的具体方案，并报请套期保值领导小组审批；</w:t>
      </w:r>
    </w:p>
    <w:p w14:paraId="1EF90707">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（二）执行经批准的套期保值业务指令；记录交易活动，及时报告交易情况；</w:t>
      </w:r>
    </w:p>
    <w:p w14:paraId="02E18A01">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（三）其他日常管理和联系工作。</w:t>
      </w:r>
    </w:p>
    <w:p w14:paraId="24B2CAA9">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第九条“风控组”主要职责：</w:t>
      </w:r>
    </w:p>
    <w:p w14:paraId="3E3100A9">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（一）负责监督业务操作是否规范、是否符合批准的方案，复核交易损益情况，对账以及会计账务处理实施监督；</w:t>
      </w:r>
    </w:p>
    <w:p w14:paraId="0F3F3169">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（二）监控公司套期保值业务的风险情况，发现不合规操作或风险情况及时汇报；</w:t>
      </w:r>
    </w:p>
    <w:p w14:paraId="57351E6B">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（三）制定应急处置预案；</w:t>
      </w:r>
    </w:p>
    <w:p w14:paraId="1BFE0AAE">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（四）评估、防范和化解公司套期保值业务的法律风险。</w:t>
      </w:r>
    </w:p>
    <w:p w14:paraId="45014651">
      <w:pPr>
        <w:spacing w:line="480" w:lineRule="exact"/>
        <w:jc w:val="center"/>
        <w:outlineLvl w:val="0"/>
        <w:rPr>
          <w:rFonts w:ascii="宋体" w:hAnsi="宋体" w:eastAsia="宋体" w:cs="宋体"/>
          <w:sz w:val="24"/>
          <w:szCs w:val="24"/>
        </w:rPr>
      </w:pPr>
      <w:r>
        <w:rPr>
          <w:rFonts w:hint="eastAsia" w:ascii="宋体" w:hAnsi="宋体" w:eastAsia="宋体" w:cs="宋体"/>
          <w:b/>
          <w:color w:val="000000"/>
          <w:sz w:val="24"/>
          <w:szCs w:val="24"/>
        </w:rPr>
        <w:t>第三章 审批权限</w:t>
      </w:r>
    </w:p>
    <w:p w14:paraId="2651F862">
      <w:pPr>
        <w:spacing w:line="480" w:lineRule="exact"/>
        <w:ind w:firstLine="480"/>
        <w:rPr>
          <w:rFonts w:ascii="宋体" w:hAnsi="宋体" w:eastAsia="宋体" w:cs="宋体"/>
          <w:sz w:val="24"/>
          <w:szCs w:val="24"/>
        </w:rPr>
      </w:pPr>
      <w:r>
        <w:rPr>
          <w:rFonts w:hint="eastAsia" w:ascii="宋体" w:hAnsi="宋体" w:eastAsia="宋体" w:cs="宋体"/>
          <w:color w:val="000000"/>
          <w:sz w:val="24"/>
          <w:szCs w:val="24"/>
        </w:rPr>
        <w:t>第十条 公司进行套期保值业务，应当编制可行性分析报告并提交董事会审议，总体额度须在公司股东会或董事会批准额度内执行。</w:t>
      </w:r>
    </w:p>
    <w:p w14:paraId="138133EA">
      <w:pPr>
        <w:spacing w:line="480" w:lineRule="exact"/>
        <w:ind w:firstLine="480"/>
        <w:rPr>
          <w:rFonts w:ascii="宋体" w:hAnsi="宋体" w:eastAsia="宋体" w:cs="宋体"/>
          <w:sz w:val="24"/>
          <w:szCs w:val="24"/>
        </w:rPr>
      </w:pPr>
      <w:r>
        <w:rPr>
          <w:rFonts w:hint="eastAsia" w:ascii="宋体" w:hAnsi="宋体" w:eastAsia="宋体" w:cs="宋体"/>
          <w:color w:val="000000"/>
          <w:sz w:val="24"/>
          <w:szCs w:val="24"/>
        </w:rPr>
        <w:t>第十一条 套期保值业务属于下列情形之一的，应当在董事会审议通过后提交股东会审议：</w:t>
      </w:r>
    </w:p>
    <w:p w14:paraId="719E17AD">
      <w:pPr>
        <w:spacing w:line="480" w:lineRule="exact"/>
        <w:ind w:firstLine="480"/>
        <w:rPr>
          <w:rFonts w:ascii="宋体" w:hAnsi="宋体" w:eastAsia="宋体" w:cs="宋体"/>
          <w:sz w:val="24"/>
          <w:szCs w:val="24"/>
        </w:rPr>
      </w:pPr>
      <w:r>
        <w:rPr>
          <w:rFonts w:hint="eastAsia" w:ascii="宋体" w:hAnsi="宋体" w:eastAsia="宋体" w:cs="宋体"/>
          <w:color w:val="000000"/>
          <w:sz w:val="24"/>
          <w:szCs w:val="24"/>
        </w:rPr>
        <w:t>1、预计动用的交易保证金和权利金上限（包括为交易而提供的担保物价值、预计占用的金融机构授信额度、为应急措施所预留的保证金等，下同）占公司最近一期经审计净利润的50％以上，且绝对金额超过五百万元人民币；</w:t>
      </w:r>
    </w:p>
    <w:p w14:paraId="0603204B">
      <w:pPr>
        <w:spacing w:line="480" w:lineRule="exact"/>
        <w:ind w:firstLine="480"/>
        <w:rPr>
          <w:rFonts w:ascii="宋体" w:hAnsi="宋体" w:eastAsia="宋体" w:cs="宋体"/>
          <w:sz w:val="24"/>
          <w:szCs w:val="24"/>
        </w:rPr>
      </w:pPr>
      <w:r>
        <w:rPr>
          <w:rFonts w:hint="eastAsia" w:ascii="宋体" w:hAnsi="宋体" w:eastAsia="宋体" w:cs="宋体"/>
          <w:color w:val="000000"/>
          <w:sz w:val="24"/>
          <w:szCs w:val="24"/>
        </w:rPr>
        <w:t>2、预计任一交易日持有的最高合约价值占公司最近一期经审计净资产的50％以上，且绝对金额超过五千万元人民币。</w:t>
      </w:r>
    </w:p>
    <w:p w14:paraId="6DD204BA">
      <w:pPr>
        <w:spacing w:line="480" w:lineRule="exact"/>
        <w:ind w:firstLine="480"/>
        <w:rPr>
          <w:rFonts w:ascii="宋体" w:hAnsi="宋体" w:eastAsia="宋体" w:cs="宋体"/>
          <w:sz w:val="24"/>
          <w:szCs w:val="24"/>
        </w:rPr>
      </w:pPr>
      <w:r>
        <w:rPr>
          <w:rFonts w:hint="eastAsia" w:ascii="宋体" w:hAnsi="宋体" w:eastAsia="宋体" w:cs="宋体"/>
          <w:color w:val="000000"/>
          <w:sz w:val="24"/>
          <w:szCs w:val="24"/>
        </w:rPr>
        <w:t>第十二条 公司因交易频次和时效要求等原因难以对每次套期保值业务交易履行审议程序和披露义务的，可以对未来十二个月内套期保值业务的范围、额度及期限等进行合理预计并审议。相关额度的使用期限不应超过十二个月，期限内任一时点的金额（含前述交易的收益进行再交易的相关金额）不应超过已审议额度。</w:t>
      </w:r>
    </w:p>
    <w:p w14:paraId="1EF8FD0F">
      <w:pPr>
        <w:spacing w:line="480" w:lineRule="exact"/>
        <w:ind w:firstLine="480"/>
        <w:rPr>
          <w:rFonts w:ascii="宋体" w:hAnsi="宋体" w:eastAsia="宋体" w:cs="宋体"/>
          <w:sz w:val="24"/>
          <w:szCs w:val="24"/>
        </w:rPr>
      </w:pPr>
      <w:r>
        <w:rPr>
          <w:rFonts w:hint="eastAsia" w:ascii="宋体" w:hAnsi="宋体" w:eastAsia="宋体" w:cs="宋体"/>
          <w:color w:val="000000"/>
          <w:sz w:val="24"/>
          <w:szCs w:val="24"/>
        </w:rPr>
        <w:t>第十三条 公司与关联人之间进行的套期保值业务应当提交公司股东会审议批准。相关额度的使用期限不应超过12个月，期限内任一时点的套期保值业务投资金额不应超过审批额度。</w:t>
      </w:r>
    </w:p>
    <w:p w14:paraId="5FDA0DAD">
      <w:pPr>
        <w:spacing w:line="480" w:lineRule="exact"/>
        <w:jc w:val="center"/>
        <w:outlineLvl w:val="0"/>
        <w:rPr>
          <w:rFonts w:ascii="宋体" w:hAnsi="宋体" w:eastAsia="宋体" w:cs="宋体"/>
          <w:b/>
          <w:color w:val="000000"/>
          <w:sz w:val="24"/>
          <w:szCs w:val="24"/>
        </w:rPr>
      </w:pPr>
      <w:r>
        <w:rPr>
          <w:rFonts w:hint="eastAsia" w:ascii="宋体" w:hAnsi="宋体" w:eastAsia="宋体" w:cs="宋体"/>
          <w:b/>
          <w:color w:val="000000"/>
          <w:sz w:val="24"/>
          <w:szCs w:val="24"/>
        </w:rPr>
        <w:t>第四章 套期保值交易业务流程</w:t>
      </w:r>
    </w:p>
    <w:p w14:paraId="6FDD4817">
      <w:pPr>
        <w:spacing w:line="480" w:lineRule="exact"/>
        <w:ind w:firstLine="480"/>
        <w:rPr>
          <w:rFonts w:ascii="宋体" w:hAnsi="宋体" w:eastAsia="宋体" w:cs="宋体"/>
          <w:sz w:val="24"/>
          <w:szCs w:val="24"/>
        </w:rPr>
      </w:pPr>
      <w:r>
        <w:rPr>
          <w:rFonts w:hint="eastAsia" w:ascii="宋体" w:hAnsi="宋体" w:eastAsia="宋体" w:cs="宋体"/>
          <w:sz w:val="24"/>
          <w:szCs w:val="24"/>
        </w:rPr>
        <w:t>第十四条 套期保值领导小组结合现货的具体情况和市场价格行情，在董事会或股东会批准的套期保值计划内，拟订套期保值交易方案。</w:t>
      </w:r>
    </w:p>
    <w:p w14:paraId="0E0F84A1">
      <w:pPr>
        <w:spacing w:line="480" w:lineRule="exact"/>
        <w:ind w:firstLine="480"/>
        <w:rPr>
          <w:rFonts w:ascii="宋体" w:hAnsi="宋体" w:eastAsia="宋体" w:cs="宋体"/>
          <w:sz w:val="24"/>
          <w:szCs w:val="24"/>
        </w:rPr>
      </w:pPr>
      <w:r>
        <w:rPr>
          <w:rFonts w:hint="eastAsia" w:ascii="宋体" w:hAnsi="宋体" w:eastAsia="宋体" w:cs="宋体"/>
          <w:sz w:val="24"/>
          <w:szCs w:val="24"/>
        </w:rPr>
        <w:t>套期保值交易方案应包括以下内容：套期保值交易的建仓品种、价位区间、数量、拟投入的保证金、风险分析、风险控制措施、止损额度等。</w:t>
      </w:r>
    </w:p>
    <w:p w14:paraId="0FF3BF0E">
      <w:pPr>
        <w:spacing w:line="480" w:lineRule="exact"/>
        <w:ind w:firstLine="480"/>
        <w:rPr>
          <w:rFonts w:ascii="宋体" w:hAnsi="宋体" w:eastAsia="宋体" w:cs="宋体"/>
          <w:sz w:val="24"/>
          <w:szCs w:val="24"/>
        </w:rPr>
      </w:pPr>
      <w:r>
        <w:rPr>
          <w:rFonts w:hint="eastAsia" w:ascii="宋体" w:hAnsi="宋体" w:eastAsia="宋体" w:cs="宋体"/>
          <w:sz w:val="24"/>
          <w:szCs w:val="24"/>
        </w:rPr>
        <w:t>第十五条 套期保值交易方案按审批权限报送批准后实施。审批后的套期保值交易方案应及时送交财务部、审计部、证券部备案。</w:t>
      </w:r>
    </w:p>
    <w:p w14:paraId="68FD90E0">
      <w:pPr>
        <w:spacing w:line="480" w:lineRule="exact"/>
        <w:ind w:firstLine="480"/>
        <w:rPr>
          <w:rFonts w:ascii="宋体" w:hAnsi="宋体" w:eastAsia="宋体" w:cs="宋体"/>
          <w:sz w:val="24"/>
          <w:szCs w:val="24"/>
        </w:rPr>
      </w:pPr>
      <w:r>
        <w:rPr>
          <w:rFonts w:hint="eastAsia" w:ascii="宋体" w:hAnsi="宋体" w:eastAsia="宋体" w:cs="宋体"/>
          <w:sz w:val="24"/>
          <w:szCs w:val="24"/>
        </w:rPr>
        <w:t>第十六条 套期保值执行小组根据经批准的套期保值交易方案，填写注入或追加保证金、权利金的付款通知，根据公司相关资金审批制度规定审批同意后交财务部执行付款。资金划拨按公司资金操作流程处理。</w:t>
      </w:r>
    </w:p>
    <w:p w14:paraId="3ED04499">
      <w:pPr>
        <w:spacing w:line="480" w:lineRule="exact"/>
        <w:ind w:firstLine="480"/>
        <w:rPr>
          <w:rFonts w:ascii="宋体" w:hAnsi="宋体" w:eastAsia="宋体" w:cs="宋体"/>
          <w:sz w:val="24"/>
          <w:szCs w:val="24"/>
        </w:rPr>
      </w:pPr>
      <w:r>
        <w:rPr>
          <w:rFonts w:hint="eastAsia" w:ascii="宋体" w:hAnsi="宋体" w:eastAsia="宋体" w:cs="宋体"/>
          <w:sz w:val="24"/>
          <w:szCs w:val="24"/>
        </w:rPr>
        <w:t>第十七条 套期保值操作人员根据经批准的套期保值交易方案选择合适的时机向期货经纪公司下达指令交易。</w:t>
      </w:r>
    </w:p>
    <w:p w14:paraId="4548CFC7">
      <w:pPr>
        <w:spacing w:line="480" w:lineRule="exact"/>
        <w:ind w:firstLine="480"/>
        <w:rPr>
          <w:rFonts w:ascii="宋体" w:hAnsi="宋体" w:eastAsia="宋体" w:cs="宋体"/>
          <w:sz w:val="24"/>
          <w:szCs w:val="24"/>
        </w:rPr>
      </w:pPr>
      <w:r>
        <w:rPr>
          <w:rFonts w:hint="eastAsia" w:ascii="宋体" w:hAnsi="宋体" w:eastAsia="宋体" w:cs="宋体"/>
          <w:sz w:val="24"/>
          <w:szCs w:val="24"/>
        </w:rPr>
        <w:t>第十八条 每次交易结束后，套期保值操作人员应及时报送成交明细、结算情况等信息。</w:t>
      </w:r>
    </w:p>
    <w:p w14:paraId="089EFE48">
      <w:pPr>
        <w:spacing w:line="480" w:lineRule="exact"/>
        <w:ind w:firstLine="480"/>
        <w:rPr>
          <w:rFonts w:ascii="宋体" w:hAnsi="宋体" w:eastAsia="宋体" w:cs="宋体"/>
          <w:sz w:val="24"/>
          <w:szCs w:val="24"/>
        </w:rPr>
      </w:pPr>
      <w:r>
        <w:rPr>
          <w:rFonts w:hint="eastAsia" w:ascii="宋体" w:hAnsi="宋体" w:eastAsia="宋体" w:cs="宋体"/>
          <w:sz w:val="24"/>
          <w:szCs w:val="24"/>
        </w:rPr>
        <w:t>第十九条 公司财务部应定期出具套期保值业务报表，并报送公司管理层。报表内容至少应包括交易时间、交易标的、金额、盈亏情况等。</w:t>
      </w:r>
    </w:p>
    <w:p w14:paraId="7AC3EF95">
      <w:pPr>
        <w:spacing w:line="480" w:lineRule="exact"/>
        <w:ind w:firstLine="480"/>
        <w:rPr>
          <w:rFonts w:ascii="宋体" w:hAnsi="宋体" w:eastAsia="宋体" w:cs="宋体"/>
          <w:sz w:val="24"/>
          <w:szCs w:val="24"/>
        </w:rPr>
      </w:pPr>
      <w:r>
        <w:rPr>
          <w:rFonts w:hint="eastAsia" w:ascii="宋体" w:hAnsi="宋体" w:eastAsia="宋体" w:cs="宋体"/>
          <w:sz w:val="24"/>
          <w:szCs w:val="24"/>
        </w:rPr>
        <w:t>第二十条 公司审计部和财务部不定期抽查套期保值业务操作情况，若与套期保值业务方案不符，须立即报告公司管理层。</w:t>
      </w:r>
    </w:p>
    <w:p w14:paraId="35E1C4A6">
      <w:pPr>
        <w:spacing w:line="480" w:lineRule="exact"/>
        <w:ind w:firstLine="480"/>
        <w:rPr>
          <w:rFonts w:ascii="宋体" w:hAnsi="宋体" w:eastAsia="宋体" w:cs="宋体"/>
          <w:sz w:val="24"/>
          <w:szCs w:val="24"/>
        </w:rPr>
      </w:pPr>
      <w:r>
        <w:rPr>
          <w:rFonts w:hint="eastAsia" w:ascii="宋体" w:hAnsi="宋体" w:eastAsia="宋体" w:cs="宋体"/>
          <w:sz w:val="24"/>
          <w:szCs w:val="24"/>
        </w:rPr>
        <w:t>第二十一条 公司审计部应定期对套期保值业务的实际操作情况、资金使用情况及盈亏情况进行审查。</w:t>
      </w:r>
    </w:p>
    <w:p w14:paraId="1FDDFE6B">
      <w:pPr>
        <w:spacing w:line="480" w:lineRule="exact"/>
        <w:jc w:val="center"/>
        <w:outlineLvl w:val="0"/>
        <w:rPr>
          <w:rFonts w:ascii="宋体" w:hAnsi="宋体" w:eastAsia="宋体" w:cs="宋体"/>
          <w:b/>
          <w:color w:val="000000"/>
          <w:sz w:val="24"/>
          <w:szCs w:val="24"/>
        </w:rPr>
      </w:pPr>
      <w:r>
        <w:rPr>
          <w:rFonts w:hint="eastAsia" w:ascii="宋体" w:hAnsi="宋体" w:eastAsia="宋体" w:cs="宋体"/>
          <w:b/>
          <w:color w:val="000000"/>
          <w:sz w:val="24"/>
          <w:szCs w:val="24"/>
        </w:rPr>
        <w:t>第五章 信息保密</w:t>
      </w:r>
    </w:p>
    <w:p w14:paraId="5FC5A42E">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第二十二条 公司应做好信息隔离措施，在做出套期保值业务决策之前，无关人等不得获知。公司套期保值业务相关人员及合作的期货经纪公司与金融机构相关人员须遵守公司的保密制度，未经允许不得泄露公司的套期保值方案、交易情况、结算情况、资金状况等与公司套期保值有关的信息。</w:t>
      </w:r>
    </w:p>
    <w:p w14:paraId="7C842176">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第二十三条 套期保值业务的申请人、审批人、操作人、资金管理人相互独立，并由审计部负责监督。若因相关人员泄密造成损失的，应承担相应经济责任，公司可视具体情况给予开除或其他处分。</w:t>
      </w:r>
    </w:p>
    <w:p w14:paraId="69D53B09">
      <w:pPr>
        <w:spacing w:line="480" w:lineRule="exact"/>
        <w:jc w:val="center"/>
        <w:outlineLvl w:val="0"/>
        <w:rPr>
          <w:rFonts w:ascii="宋体" w:hAnsi="宋体" w:eastAsia="宋体" w:cs="宋体"/>
          <w:color w:val="000000"/>
          <w:sz w:val="24"/>
          <w:szCs w:val="24"/>
        </w:rPr>
      </w:pPr>
      <w:r>
        <w:rPr>
          <w:rFonts w:hint="eastAsia" w:ascii="宋体" w:hAnsi="宋体" w:eastAsia="宋体" w:cs="宋体"/>
          <w:b/>
          <w:color w:val="000000"/>
          <w:sz w:val="24"/>
          <w:szCs w:val="24"/>
        </w:rPr>
        <w:t>第六章 风险管理及应急处理预案控制措施</w:t>
      </w:r>
    </w:p>
    <w:p w14:paraId="47F0A437">
      <w:pPr>
        <w:spacing w:line="480" w:lineRule="exact"/>
        <w:ind w:firstLine="480" w:firstLineChars="200"/>
        <w:jc w:val="left"/>
        <w:rPr>
          <w:rFonts w:ascii="宋体" w:hAnsi="宋体" w:eastAsia="宋体" w:cs="宋体"/>
          <w:sz w:val="24"/>
          <w:szCs w:val="24"/>
        </w:rPr>
      </w:pPr>
      <w:r>
        <w:rPr>
          <w:rFonts w:hint="eastAsia" w:ascii="宋体" w:hAnsi="宋体" w:eastAsia="宋体" w:cs="宋体"/>
          <w:color w:val="000000"/>
          <w:sz w:val="24"/>
          <w:szCs w:val="24"/>
        </w:rPr>
        <w:t>第二十四条 公司在开展套期保值业务前须做到：</w:t>
      </w:r>
    </w:p>
    <w:p w14:paraId="358CA942">
      <w:pPr>
        <w:spacing w:line="480" w:lineRule="exact"/>
        <w:ind w:firstLine="480"/>
        <w:jc w:val="left"/>
        <w:rPr>
          <w:rFonts w:ascii="宋体" w:hAnsi="宋体" w:eastAsia="宋体" w:cs="宋体"/>
          <w:sz w:val="24"/>
          <w:szCs w:val="24"/>
        </w:rPr>
      </w:pPr>
      <w:r>
        <w:rPr>
          <w:rFonts w:hint="eastAsia" w:ascii="宋体" w:hAnsi="宋体" w:eastAsia="宋体" w:cs="宋体"/>
          <w:color w:val="000000"/>
          <w:sz w:val="24"/>
          <w:szCs w:val="24"/>
        </w:rPr>
        <w:t>1、慎重选择经纪公司、金融机构及其子公司。</w:t>
      </w:r>
    </w:p>
    <w:p w14:paraId="494C4A95">
      <w:pPr>
        <w:spacing w:line="480" w:lineRule="exact"/>
        <w:ind w:firstLine="480"/>
        <w:jc w:val="left"/>
        <w:rPr>
          <w:rFonts w:ascii="宋体" w:hAnsi="宋体" w:eastAsia="宋体" w:cs="宋体"/>
          <w:sz w:val="24"/>
          <w:szCs w:val="24"/>
        </w:rPr>
      </w:pPr>
      <w:r>
        <w:rPr>
          <w:rFonts w:hint="eastAsia" w:ascii="宋体" w:hAnsi="宋体" w:eastAsia="宋体" w:cs="宋体"/>
          <w:color w:val="000000"/>
          <w:sz w:val="24"/>
          <w:szCs w:val="24"/>
        </w:rPr>
        <w:t>2、合理设置期货及期权业务组织机构和选择安排相应岗位业务人员。</w:t>
      </w:r>
    </w:p>
    <w:p w14:paraId="1569FE0A">
      <w:pPr>
        <w:spacing w:line="480" w:lineRule="exact"/>
        <w:ind w:firstLine="480"/>
        <w:rPr>
          <w:rFonts w:ascii="宋体" w:hAnsi="宋体" w:eastAsia="宋体" w:cs="宋体"/>
          <w:sz w:val="24"/>
          <w:szCs w:val="24"/>
        </w:rPr>
      </w:pPr>
      <w:r>
        <w:rPr>
          <w:rFonts w:hint="eastAsia" w:ascii="宋体" w:hAnsi="宋体" w:eastAsia="宋体" w:cs="宋体"/>
          <w:color w:val="000000"/>
          <w:sz w:val="24"/>
          <w:szCs w:val="24"/>
        </w:rPr>
        <w:t>公司套期保值操作人员应随时跟踪了解期货经纪公司的发展变化和资信情况，并将有关发展变化报告公司套期保值领导小组，以便公司根据实际情况来决定是否更换期货经纪公司。</w:t>
      </w:r>
    </w:p>
    <w:p w14:paraId="1533AE6F">
      <w:pPr>
        <w:spacing w:line="480" w:lineRule="exact"/>
        <w:ind w:firstLine="480"/>
        <w:rPr>
          <w:rFonts w:ascii="宋体" w:hAnsi="宋体" w:eastAsia="宋体" w:cs="宋体"/>
          <w:sz w:val="24"/>
          <w:szCs w:val="24"/>
        </w:rPr>
      </w:pPr>
      <w:r>
        <w:rPr>
          <w:rFonts w:hint="eastAsia" w:ascii="宋体" w:hAnsi="宋体" w:eastAsia="宋体" w:cs="宋体"/>
          <w:color w:val="000000"/>
          <w:sz w:val="24"/>
          <w:szCs w:val="24"/>
        </w:rPr>
        <w:t>第二十五条 公司审计部应定期或不定期地对套期保值业务进行检查，监督套期保值操作人员执行风险管理政策和风险管理工作程序，及时防范业务中的操作风险。</w:t>
      </w:r>
    </w:p>
    <w:p w14:paraId="2B8D3CBA">
      <w:pPr>
        <w:spacing w:line="480" w:lineRule="exact"/>
        <w:ind w:firstLine="480"/>
        <w:rPr>
          <w:rFonts w:ascii="宋体" w:hAnsi="宋体" w:eastAsia="宋体" w:cs="宋体"/>
          <w:sz w:val="24"/>
          <w:szCs w:val="24"/>
        </w:rPr>
      </w:pPr>
      <w:r>
        <w:rPr>
          <w:rFonts w:hint="eastAsia" w:ascii="宋体" w:hAnsi="宋体" w:eastAsia="宋体" w:cs="宋体"/>
          <w:color w:val="000000"/>
          <w:sz w:val="24"/>
          <w:szCs w:val="24"/>
        </w:rPr>
        <w:t>第二十六条 公司套期保值领导小组按照不同月份的实际生产能力来确定和控制当期的套期保值量。公司在已经确认对实物合同进行套期保值的情况下，期货头寸的建立、平仓要与所保值的实物合同在数量上及时间上相匹配。</w:t>
      </w:r>
    </w:p>
    <w:p w14:paraId="316E59E6">
      <w:pPr>
        <w:spacing w:line="480" w:lineRule="exact"/>
        <w:ind w:firstLine="480"/>
        <w:rPr>
          <w:rFonts w:ascii="宋体" w:hAnsi="宋体" w:eastAsia="宋体" w:cs="宋体"/>
          <w:sz w:val="24"/>
          <w:szCs w:val="24"/>
        </w:rPr>
      </w:pPr>
      <w:r>
        <w:rPr>
          <w:rFonts w:hint="eastAsia" w:ascii="宋体" w:hAnsi="宋体" w:eastAsia="宋体" w:cs="宋体"/>
          <w:color w:val="000000"/>
          <w:sz w:val="24"/>
          <w:szCs w:val="24"/>
        </w:rPr>
        <w:t>第二十七条 当发生以下情况时，套期保值操作人员应立即向公司</w:t>
      </w:r>
      <w:r>
        <w:rPr>
          <w:rFonts w:hint="eastAsia" w:ascii="宋体" w:hAnsi="宋体" w:eastAsia="宋体" w:cs="宋体"/>
          <w:sz w:val="24"/>
          <w:szCs w:val="24"/>
        </w:rPr>
        <w:t>套期保值</w:t>
      </w:r>
      <w:r>
        <w:rPr>
          <w:rFonts w:hint="eastAsia" w:ascii="宋体" w:hAnsi="宋体" w:eastAsia="宋体" w:cs="宋体"/>
          <w:color w:val="000000"/>
          <w:sz w:val="24"/>
          <w:szCs w:val="24"/>
        </w:rPr>
        <w:t>领导小组报告：</w:t>
      </w:r>
    </w:p>
    <w:p w14:paraId="11E57A52">
      <w:pPr>
        <w:spacing w:line="480" w:lineRule="exact"/>
        <w:ind w:firstLine="480"/>
        <w:jc w:val="left"/>
        <w:rPr>
          <w:rFonts w:ascii="宋体" w:hAnsi="宋体" w:eastAsia="宋体" w:cs="宋体"/>
          <w:sz w:val="24"/>
          <w:szCs w:val="24"/>
        </w:rPr>
      </w:pPr>
      <w:r>
        <w:rPr>
          <w:rFonts w:hint="eastAsia" w:ascii="宋体" w:hAnsi="宋体" w:eastAsia="宋体" w:cs="宋体"/>
          <w:color w:val="000000"/>
          <w:sz w:val="24"/>
          <w:szCs w:val="24"/>
        </w:rPr>
        <w:t>1、期货经纪公司套期保值业务有关人员违反交易协议及管理工作程序；</w:t>
      </w:r>
    </w:p>
    <w:p w14:paraId="4D669AF2">
      <w:pPr>
        <w:spacing w:line="480" w:lineRule="exact"/>
        <w:ind w:firstLine="480"/>
        <w:jc w:val="left"/>
        <w:rPr>
          <w:rFonts w:ascii="宋体" w:hAnsi="宋体" w:eastAsia="宋体" w:cs="宋体"/>
          <w:sz w:val="24"/>
          <w:szCs w:val="24"/>
        </w:rPr>
      </w:pPr>
      <w:r>
        <w:rPr>
          <w:rFonts w:hint="eastAsia" w:ascii="宋体" w:hAnsi="宋体" w:eastAsia="宋体" w:cs="宋体"/>
          <w:color w:val="000000"/>
          <w:sz w:val="24"/>
          <w:szCs w:val="24"/>
        </w:rPr>
        <w:t>2、期货经纪公司的资信情况不符合公司的要求；</w:t>
      </w:r>
    </w:p>
    <w:p w14:paraId="40ABC4AC">
      <w:pPr>
        <w:spacing w:line="480" w:lineRule="exact"/>
        <w:ind w:firstLine="480"/>
        <w:jc w:val="left"/>
        <w:rPr>
          <w:rFonts w:ascii="宋体" w:hAnsi="宋体" w:eastAsia="宋体" w:cs="宋体"/>
          <w:sz w:val="24"/>
          <w:szCs w:val="24"/>
        </w:rPr>
      </w:pPr>
      <w:r>
        <w:rPr>
          <w:rFonts w:hint="eastAsia" w:ascii="宋体" w:hAnsi="宋体" w:eastAsia="宋体" w:cs="宋体"/>
          <w:color w:val="000000"/>
          <w:sz w:val="24"/>
          <w:szCs w:val="24"/>
        </w:rPr>
        <w:t>3、公司的具体保值方案不符合有关规定；</w:t>
      </w:r>
    </w:p>
    <w:p w14:paraId="46E4628B">
      <w:pPr>
        <w:spacing w:line="480" w:lineRule="exact"/>
        <w:ind w:firstLine="480"/>
        <w:jc w:val="left"/>
        <w:rPr>
          <w:rFonts w:ascii="宋体" w:hAnsi="宋体" w:eastAsia="宋体" w:cs="宋体"/>
          <w:sz w:val="24"/>
          <w:szCs w:val="24"/>
        </w:rPr>
      </w:pPr>
      <w:r>
        <w:rPr>
          <w:rFonts w:hint="eastAsia" w:ascii="宋体" w:hAnsi="宋体" w:eastAsia="宋体" w:cs="宋体"/>
          <w:color w:val="000000"/>
          <w:sz w:val="24"/>
          <w:szCs w:val="24"/>
        </w:rPr>
        <w:t>4、期货经纪公司交易员的交易行为不符合套期保值方案；</w:t>
      </w:r>
    </w:p>
    <w:p w14:paraId="327A458D">
      <w:pPr>
        <w:spacing w:line="480" w:lineRule="exact"/>
        <w:ind w:firstLine="480"/>
        <w:jc w:val="left"/>
        <w:rPr>
          <w:rFonts w:ascii="宋体" w:hAnsi="宋体" w:eastAsia="宋体" w:cs="宋体"/>
          <w:sz w:val="24"/>
          <w:szCs w:val="24"/>
        </w:rPr>
      </w:pPr>
      <w:r>
        <w:rPr>
          <w:rFonts w:hint="eastAsia" w:ascii="宋体" w:hAnsi="宋体" w:eastAsia="宋体" w:cs="宋体"/>
          <w:color w:val="000000"/>
          <w:sz w:val="24"/>
          <w:szCs w:val="24"/>
        </w:rPr>
        <w:t>5、公司期货和衍生品交易的风险状况影响到套期保值过程的正常进行；</w:t>
      </w:r>
    </w:p>
    <w:p w14:paraId="072E619F">
      <w:pPr>
        <w:spacing w:line="480" w:lineRule="exact"/>
        <w:ind w:firstLine="480"/>
        <w:jc w:val="left"/>
        <w:rPr>
          <w:rFonts w:ascii="宋体" w:hAnsi="宋体" w:eastAsia="宋体" w:cs="宋体"/>
          <w:sz w:val="24"/>
          <w:szCs w:val="24"/>
        </w:rPr>
      </w:pPr>
      <w:r>
        <w:rPr>
          <w:rFonts w:hint="eastAsia" w:ascii="宋体" w:hAnsi="宋体" w:eastAsia="宋体" w:cs="宋体"/>
          <w:color w:val="000000"/>
          <w:sz w:val="24"/>
          <w:szCs w:val="24"/>
        </w:rPr>
        <w:t>6、公司</w:t>
      </w:r>
      <w:r>
        <w:rPr>
          <w:rFonts w:hint="eastAsia" w:ascii="宋体" w:hAnsi="宋体" w:eastAsia="宋体" w:cs="宋体"/>
          <w:sz w:val="24"/>
          <w:szCs w:val="24"/>
        </w:rPr>
        <w:t>套期保值</w:t>
      </w:r>
      <w:r>
        <w:rPr>
          <w:rFonts w:hint="eastAsia" w:ascii="宋体" w:hAnsi="宋体" w:eastAsia="宋体" w:cs="宋体"/>
          <w:color w:val="000000"/>
          <w:sz w:val="24"/>
          <w:szCs w:val="24"/>
        </w:rPr>
        <w:t>业务出现或将出现有关的法律风险。</w:t>
      </w:r>
    </w:p>
    <w:p w14:paraId="782C7E13">
      <w:pPr>
        <w:spacing w:line="480" w:lineRule="exact"/>
        <w:ind w:firstLine="480"/>
        <w:jc w:val="left"/>
        <w:rPr>
          <w:rFonts w:ascii="宋体" w:hAnsi="宋体" w:eastAsia="宋体" w:cs="宋体"/>
          <w:sz w:val="24"/>
          <w:szCs w:val="24"/>
        </w:rPr>
      </w:pPr>
      <w:r>
        <w:rPr>
          <w:rFonts w:hint="eastAsia" w:ascii="宋体" w:hAnsi="宋体" w:eastAsia="宋体" w:cs="宋体"/>
          <w:color w:val="000000"/>
          <w:sz w:val="24"/>
          <w:szCs w:val="24"/>
        </w:rPr>
        <w:t>第二十八条 风险处理程序：</w:t>
      </w:r>
    </w:p>
    <w:p w14:paraId="030E64AE">
      <w:pPr>
        <w:spacing w:line="480" w:lineRule="exact"/>
        <w:ind w:firstLine="480"/>
        <w:rPr>
          <w:rFonts w:ascii="宋体" w:hAnsi="宋体" w:eastAsia="宋体" w:cs="宋体"/>
          <w:sz w:val="24"/>
          <w:szCs w:val="24"/>
        </w:rPr>
      </w:pPr>
      <w:r>
        <w:rPr>
          <w:rFonts w:hint="eastAsia" w:ascii="宋体" w:hAnsi="宋体" w:eastAsia="宋体" w:cs="宋体"/>
          <w:color w:val="000000"/>
          <w:sz w:val="24"/>
          <w:szCs w:val="24"/>
        </w:rPr>
        <w:t>1、公司经营管理层及时召集公司套期保值领导小组和有关人员参加会议，分析讨论风险情况及应采取的对策；</w:t>
      </w:r>
    </w:p>
    <w:p w14:paraId="2077964F">
      <w:pPr>
        <w:spacing w:line="480" w:lineRule="exact"/>
        <w:ind w:firstLine="480"/>
        <w:jc w:val="left"/>
        <w:rPr>
          <w:rFonts w:ascii="宋体" w:hAnsi="宋体" w:eastAsia="宋体" w:cs="宋体"/>
          <w:sz w:val="24"/>
          <w:szCs w:val="24"/>
        </w:rPr>
      </w:pPr>
      <w:r>
        <w:rPr>
          <w:rFonts w:hint="eastAsia" w:ascii="宋体" w:hAnsi="宋体" w:eastAsia="宋体" w:cs="宋体"/>
          <w:color w:val="000000"/>
          <w:sz w:val="24"/>
          <w:szCs w:val="24"/>
        </w:rPr>
        <w:t>2、相关人员严格执行公司的风险处理决定。</w:t>
      </w:r>
    </w:p>
    <w:p w14:paraId="6CFA3934">
      <w:pPr>
        <w:spacing w:line="480" w:lineRule="exact"/>
        <w:ind w:firstLine="480"/>
        <w:rPr>
          <w:rFonts w:ascii="宋体" w:hAnsi="宋体" w:eastAsia="宋体" w:cs="宋体"/>
          <w:sz w:val="24"/>
          <w:szCs w:val="24"/>
        </w:rPr>
      </w:pPr>
      <w:r>
        <w:rPr>
          <w:rFonts w:hint="eastAsia" w:ascii="宋体" w:hAnsi="宋体" w:eastAsia="宋体" w:cs="宋体"/>
          <w:color w:val="000000"/>
          <w:sz w:val="24"/>
          <w:szCs w:val="24"/>
        </w:rPr>
        <w:t>第二十九条 公司应合理计划和安排使用保证金、权利金，保证套期保值过程正常进行。应合理选择保值月份，避免市场流动性风险。</w:t>
      </w:r>
    </w:p>
    <w:p w14:paraId="1D6D6D6A">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第三十条 公司应加强相关人员的职业道德教育及业务培训，提高相关人员的综合素质。</w:t>
      </w:r>
    </w:p>
    <w:p w14:paraId="4B3F70AB">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第三十一条 公司设立符合要求的交易、通讯及信息服务设施系统，保证交易系统的正常运行，确保交易工作正常开展。</w:t>
      </w:r>
    </w:p>
    <w:p w14:paraId="2B3195AE">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第三十二条 公司执行套期保值交易方案时，如遇国家政策、市场发生重大变化等原因，导致继续进行该业务将造成风险显著增加、可能引发重大损失时，应按权限及时主动报告，并在最短时间内平仓或锁仓。</w:t>
      </w:r>
    </w:p>
    <w:p w14:paraId="04D07144">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第三十三条 若遇地震、泥石流、滑坡、水灾、火灾、台风、暴乱、骚乱、战争等不可抗力原因导致的损失，按相关法律法规、期货、期权合约及相关合同的规定处理。</w:t>
      </w:r>
    </w:p>
    <w:p w14:paraId="5160EE75">
      <w:pPr>
        <w:spacing w:line="48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第三十四条 如本地发生停电、计算机及企业网络故障使交易不能正常进行的，公司应及时启用备用无线网络、笔记本电脑等设备或通过电话等方式委托期货经纪公司进行交易。</w:t>
      </w:r>
    </w:p>
    <w:p w14:paraId="61D18C9C">
      <w:pPr>
        <w:spacing w:line="480" w:lineRule="exact"/>
        <w:jc w:val="center"/>
        <w:outlineLvl w:val="0"/>
        <w:rPr>
          <w:rFonts w:ascii="宋体" w:hAnsi="宋体" w:eastAsia="宋体" w:cs="宋体"/>
          <w:b/>
          <w:color w:val="000000"/>
          <w:sz w:val="24"/>
          <w:szCs w:val="24"/>
        </w:rPr>
      </w:pPr>
      <w:r>
        <w:rPr>
          <w:rFonts w:hint="eastAsia" w:ascii="宋体" w:hAnsi="宋体" w:eastAsia="宋体" w:cs="宋体"/>
          <w:b/>
          <w:color w:val="000000"/>
          <w:sz w:val="24"/>
          <w:szCs w:val="24"/>
        </w:rPr>
        <w:t>第七章 报告制度</w:t>
      </w:r>
    </w:p>
    <w:p w14:paraId="66865849">
      <w:pPr>
        <w:spacing w:line="480" w:lineRule="exact"/>
        <w:ind w:firstLine="480"/>
        <w:rPr>
          <w:rFonts w:ascii="宋体" w:hAnsi="宋体" w:eastAsia="宋体" w:cs="宋体"/>
          <w:sz w:val="24"/>
          <w:szCs w:val="24"/>
        </w:rPr>
      </w:pPr>
      <w:r>
        <w:rPr>
          <w:rFonts w:hint="eastAsia" w:ascii="宋体" w:hAnsi="宋体" w:eastAsia="宋体" w:cs="宋体"/>
          <w:color w:val="000000"/>
          <w:sz w:val="24"/>
          <w:szCs w:val="24"/>
        </w:rPr>
        <w:t>第三十五条 套期保值操作人员应定期向套期保值领导小组提交套期保值业务报告，包括新建仓位状况、总体持仓状况、结算状况、套期保值效果等。</w:t>
      </w:r>
    </w:p>
    <w:p w14:paraId="1FB12BE4">
      <w:pPr>
        <w:spacing w:line="480" w:lineRule="exact"/>
        <w:ind w:firstLine="480"/>
        <w:jc w:val="left"/>
        <w:rPr>
          <w:rFonts w:ascii="宋体" w:hAnsi="宋体" w:eastAsia="宋体" w:cs="宋体"/>
          <w:sz w:val="24"/>
          <w:szCs w:val="24"/>
        </w:rPr>
      </w:pPr>
      <w:r>
        <w:rPr>
          <w:rFonts w:hint="eastAsia" w:ascii="宋体" w:hAnsi="宋体" w:eastAsia="宋体" w:cs="宋体"/>
          <w:color w:val="000000"/>
          <w:sz w:val="24"/>
          <w:szCs w:val="24"/>
        </w:rPr>
        <w:t>第三十六条 套期保值操作人员应遵守以下汇报制度：</w:t>
      </w:r>
    </w:p>
    <w:p w14:paraId="55E80F64">
      <w:pPr>
        <w:spacing w:line="480" w:lineRule="exact"/>
        <w:ind w:firstLine="480"/>
        <w:rPr>
          <w:rFonts w:ascii="宋体" w:hAnsi="宋体" w:eastAsia="宋体" w:cs="宋体"/>
          <w:sz w:val="24"/>
          <w:szCs w:val="24"/>
        </w:rPr>
      </w:pPr>
      <w:r>
        <w:rPr>
          <w:rFonts w:hint="eastAsia" w:ascii="宋体" w:hAnsi="宋体" w:eastAsia="宋体" w:cs="宋体"/>
          <w:color w:val="000000"/>
          <w:sz w:val="24"/>
          <w:szCs w:val="24"/>
        </w:rPr>
        <w:t>1、套期保值操作人员每次交易后向套期保值领导小组报告每次新建头寸情况、计划建仓及平仓头寸情况及最新市场信息等情况。</w:t>
      </w:r>
    </w:p>
    <w:p w14:paraId="02F08832">
      <w:pPr>
        <w:spacing w:line="480" w:lineRule="exact"/>
        <w:ind w:firstLine="480"/>
        <w:rPr>
          <w:rFonts w:ascii="宋体" w:hAnsi="宋体" w:eastAsia="宋体" w:cs="宋体"/>
          <w:sz w:val="24"/>
          <w:szCs w:val="24"/>
        </w:rPr>
      </w:pPr>
      <w:r>
        <w:rPr>
          <w:rFonts w:hint="eastAsia" w:ascii="宋体" w:hAnsi="宋体" w:eastAsia="宋体" w:cs="宋体"/>
          <w:color w:val="000000"/>
          <w:sz w:val="24"/>
          <w:szCs w:val="24"/>
        </w:rPr>
        <w:t>2、套期保值操作人员和财务部分别根据每次交易情况建立套期保值统计核算台账并向套期保值领导小组报告汇总持仓状况、结算盈亏状况及保证金使用状况等信息。</w:t>
      </w:r>
    </w:p>
    <w:p w14:paraId="418BBCFB">
      <w:pPr>
        <w:spacing w:line="480" w:lineRule="exact"/>
        <w:jc w:val="center"/>
        <w:outlineLvl w:val="0"/>
        <w:rPr>
          <w:rFonts w:ascii="宋体" w:hAnsi="宋体" w:eastAsia="宋体" w:cs="宋体"/>
          <w:b/>
          <w:color w:val="000000"/>
          <w:sz w:val="24"/>
          <w:szCs w:val="24"/>
        </w:rPr>
      </w:pPr>
      <w:r>
        <w:rPr>
          <w:rFonts w:hint="eastAsia" w:ascii="宋体" w:hAnsi="宋体" w:eastAsia="宋体" w:cs="宋体"/>
          <w:b/>
          <w:color w:val="000000"/>
          <w:sz w:val="24"/>
          <w:szCs w:val="24"/>
        </w:rPr>
        <w:t>第八章 信息披露</w:t>
      </w:r>
    </w:p>
    <w:p w14:paraId="44E1EB02">
      <w:pPr>
        <w:spacing w:line="480" w:lineRule="exact"/>
        <w:ind w:firstLine="480"/>
        <w:rPr>
          <w:rFonts w:ascii="宋体" w:hAnsi="宋体" w:eastAsia="宋体" w:cs="宋体"/>
          <w:sz w:val="24"/>
          <w:szCs w:val="24"/>
        </w:rPr>
      </w:pPr>
      <w:r>
        <w:rPr>
          <w:rFonts w:hint="eastAsia" w:ascii="宋体" w:hAnsi="宋体" w:eastAsia="宋体" w:cs="宋体"/>
          <w:color w:val="000000"/>
          <w:sz w:val="24"/>
          <w:szCs w:val="24"/>
        </w:rPr>
        <w:t>第三十七条 公司进行套期保值业务，应严格按照深圳证券交易所相关规则要求及时履行信息披露义务。</w:t>
      </w:r>
    </w:p>
    <w:p w14:paraId="67DC0A63">
      <w:pPr>
        <w:spacing w:line="480" w:lineRule="exact"/>
        <w:ind w:firstLine="480"/>
        <w:rPr>
          <w:rFonts w:ascii="宋体" w:hAnsi="宋体" w:eastAsia="宋体" w:cs="宋体"/>
          <w:sz w:val="24"/>
          <w:szCs w:val="24"/>
        </w:rPr>
      </w:pPr>
      <w:r>
        <w:rPr>
          <w:rFonts w:hint="eastAsia" w:ascii="宋体" w:hAnsi="宋体" w:eastAsia="宋体" w:cs="宋体"/>
          <w:color w:val="000000"/>
          <w:sz w:val="24"/>
          <w:szCs w:val="24"/>
        </w:rPr>
        <w:t>第三十八条 公司期货和衍生品交易已确认损益及浮动亏损金额（将套期工具与被套期项目价值变动加总）每达到公司最近一年经审计的归属于上市公司股东净利润的10%且绝对金额超过一千万元人民币的，应当及时披露。</w:t>
      </w:r>
    </w:p>
    <w:p w14:paraId="7259BE5E">
      <w:pPr>
        <w:spacing w:line="480" w:lineRule="exact"/>
        <w:jc w:val="center"/>
        <w:outlineLvl w:val="0"/>
        <w:rPr>
          <w:rFonts w:ascii="宋体" w:hAnsi="宋体" w:eastAsia="宋体" w:cs="宋体"/>
          <w:b/>
          <w:color w:val="000000"/>
          <w:sz w:val="24"/>
          <w:szCs w:val="24"/>
        </w:rPr>
      </w:pPr>
      <w:r>
        <w:rPr>
          <w:rFonts w:hint="eastAsia" w:ascii="宋体" w:hAnsi="宋体" w:eastAsia="宋体" w:cs="宋体"/>
          <w:b/>
          <w:color w:val="000000"/>
          <w:sz w:val="24"/>
          <w:szCs w:val="24"/>
        </w:rPr>
        <w:t>第九章 法律责任</w:t>
      </w:r>
    </w:p>
    <w:p w14:paraId="5C8F6FC5">
      <w:pPr>
        <w:spacing w:line="480" w:lineRule="exact"/>
        <w:ind w:firstLine="480"/>
        <w:rPr>
          <w:rFonts w:ascii="宋体" w:hAnsi="宋体" w:eastAsia="宋体" w:cs="宋体"/>
          <w:sz w:val="24"/>
          <w:szCs w:val="24"/>
        </w:rPr>
      </w:pPr>
      <w:r>
        <w:rPr>
          <w:rFonts w:hint="eastAsia" w:ascii="宋体" w:hAnsi="宋体" w:eastAsia="宋体" w:cs="宋体"/>
          <w:color w:val="000000"/>
          <w:sz w:val="24"/>
          <w:szCs w:val="24"/>
        </w:rPr>
        <w:t>第三十九条 本制度规定所涉及的交易指令、资金拨付、下单、结算、内控审计等各有关人员，严格按照规定制度操作的，交易风险由公司承担。超越权限进行的资金拨付、证券交易等行为，由越权操作者对交易风险或者损失承担个人责任。</w:t>
      </w:r>
    </w:p>
    <w:p w14:paraId="70902B58">
      <w:pPr>
        <w:spacing w:line="480" w:lineRule="exact"/>
        <w:ind w:firstLine="480"/>
        <w:rPr>
          <w:rFonts w:ascii="宋体" w:hAnsi="宋体" w:eastAsia="宋体" w:cs="宋体"/>
          <w:sz w:val="24"/>
          <w:szCs w:val="24"/>
        </w:rPr>
        <w:sectPr>
          <w:headerReference r:id="rId6" w:type="first"/>
          <w:footerReference r:id="rId8" w:type="first"/>
          <w:headerReference r:id="rId5" w:type="default"/>
          <w:footerReference r:id="rId7" w:type="default"/>
          <w:type w:val="continuous"/>
          <w:pgSz w:w="11900" w:h="16820"/>
          <w:pgMar w:top="1460" w:right="1740" w:bottom="1440" w:left="1760" w:header="680" w:footer="0" w:gutter="0"/>
          <w:pgNumType w:fmt="decimal"/>
          <w:cols w:space="720" w:num="1"/>
          <w:titlePg/>
        </w:sectPr>
      </w:pPr>
      <w:r>
        <w:rPr>
          <w:rFonts w:hint="eastAsia" w:ascii="宋体" w:hAnsi="宋体" w:eastAsia="宋体" w:cs="宋体"/>
          <w:color w:val="000000"/>
          <w:sz w:val="24"/>
          <w:szCs w:val="24"/>
        </w:rPr>
        <w:t>第四十条 相关人员违反本制度规定进行资金拨付和下单交易，因此给公司造成的损失，公司有权采取扣留工资奖金、向人民法院起诉等合法方式，向其追讨损失。其行为依法构成犯罪的，由公司向司法机关报案，追究刑事责任。</w:t>
      </w:r>
    </w:p>
    <w:p w14:paraId="6289DEED">
      <w:pPr>
        <w:spacing w:line="480" w:lineRule="exact"/>
        <w:jc w:val="center"/>
        <w:outlineLvl w:val="0"/>
        <w:rPr>
          <w:rFonts w:ascii="宋体" w:hAnsi="宋体" w:eastAsia="宋体" w:cs="宋体"/>
          <w:b/>
          <w:color w:val="000000"/>
          <w:sz w:val="24"/>
          <w:szCs w:val="24"/>
        </w:rPr>
      </w:pPr>
      <w:r>
        <w:rPr>
          <w:rFonts w:hint="eastAsia" w:ascii="宋体" w:hAnsi="宋体" w:eastAsia="宋体" w:cs="宋体"/>
          <w:b/>
          <w:color w:val="000000"/>
          <w:sz w:val="24"/>
          <w:szCs w:val="24"/>
        </w:rPr>
        <w:t>第十章 附则</w:t>
      </w:r>
    </w:p>
    <w:p w14:paraId="5D031483">
      <w:pPr>
        <w:spacing w:line="480" w:lineRule="exact"/>
        <w:ind w:firstLine="480"/>
        <w:rPr>
          <w:rFonts w:ascii="宋体" w:hAnsi="宋体" w:eastAsia="宋体" w:cs="宋体"/>
          <w:sz w:val="24"/>
          <w:szCs w:val="24"/>
        </w:rPr>
      </w:pPr>
      <w:r>
        <w:rPr>
          <w:rFonts w:hint="eastAsia" w:ascii="宋体" w:hAnsi="宋体" w:eastAsia="宋体" w:cs="宋体"/>
          <w:color w:val="000000"/>
          <w:sz w:val="24"/>
          <w:szCs w:val="24"/>
        </w:rPr>
        <w:t>第四十一条 公司套期保值业务涉及的部门和人员，应严格按本制度规定执行，并自觉接受公司董事会审计委员会、审计部或公司外聘的审计机构的审计。</w:t>
      </w:r>
    </w:p>
    <w:p w14:paraId="5B81F7D4">
      <w:pPr>
        <w:spacing w:line="480" w:lineRule="exact"/>
        <w:ind w:firstLine="480"/>
        <w:rPr>
          <w:rFonts w:ascii="宋体" w:hAnsi="宋体" w:eastAsia="宋体" w:cs="宋体"/>
          <w:sz w:val="24"/>
          <w:szCs w:val="24"/>
        </w:rPr>
      </w:pPr>
      <w:r>
        <w:rPr>
          <w:rFonts w:hint="eastAsia" w:ascii="宋体" w:hAnsi="宋体" w:eastAsia="宋体" w:cs="宋体"/>
          <w:color w:val="000000"/>
          <w:sz w:val="24"/>
          <w:szCs w:val="24"/>
        </w:rPr>
        <w:t>第四十二条 本制度未尽事宜，按照国家有关法律、法规、规范性文件的规定执行。本制度如与日后颁布的有关法律、法规、规范性文件的规定相抵触的，应按有关法律、法规、规范性文件的规定执行，并由董事会及时修订本制度。</w:t>
      </w:r>
    </w:p>
    <w:p w14:paraId="6907F08A">
      <w:pPr>
        <w:spacing w:line="480" w:lineRule="exact"/>
        <w:ind w:firstLine="480"/>
        <w:rPr>
          <w:rFonts w:ascii="宋体" w:hAnsi="宋体" w:eastAsia="宋体" w:cs="宋体"/>
          <w:sz w:val="24"/>
          <w:szCs w:val="24"/>
        </w:rPr>
      </w:pPr>
      <w:r>
        <w:rPr>
          <w:rFonts w:hint="eastAsia" w:ascii="宋体" w:hAnsi="宋体" w:eastAsia="宋体" w:cs="宋体"/>
          <w:color w:val="000000"/>
          <w:sz w:val="24"/>
          <w:szCs w:val="24"/>
        </w:rPr>
        <w:t>第四十三条 本制度自公司董事会审议通过之日起生效，其修订、废止、最终解释与考核权归公司董事会。</w:t>
      </w:r>
    </w:p>
    <w:p w14:paraId="6A4B0682">
      <w:pPr>
        <w:spacing w:line="240" w:lineRule="auto"/>
        <w:rPr>
          <w:lang w:val="en-US" w:eastAsia="zh-CN"/>
        </w:rPr>
      </w:pPr>
    </w:p>
    <w:p w14:paraId="60EC3AE6">
      <w:pPr>
        <w:spacing w:line="240" w:lineRule="auto"/>
        <w:jc w:val="center"/>
        <w:rPr>
          <w:lang w:val="en-US" w:eastAsia="zh-CN"/>
        </w:rPr>
      </w:pPr>
    </w:p>
    <w:sectPr>
      <w:headerReference r:id="rId9" w:type="default"/>
      <w:footerReference r:id="rId10" w:type="default"/>
      <w:type w:val="continuous"/>
      <w:pgSz w:w="11900" w:h="16820"/>
      <w:pgMar w:top="1400" w:right="2200" w:bottom="1340" w:left="1740"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3C48B">
    <w:pPr>
      <w:pStyle w:val="5"/>
    </w:pPr>
    <w:r>
      <w:rPr>
        <w:sz w:val="18"/>
      </w:rPr>
      <mc:AlternateContent>
        <mc:Choice Requires="wps">
          <w:drawing>
            <wp:anchor distT="0" distB="0" distL="114300" distR="114300" simplePos="0" relativeHeight="251661312" behindDoc="0" locked="0" layoutInCell="1" allowOverlap="1">
              <wp:simplePos x="0" y="0"/>
              <wp:positionH relativeFrom="margin">
                <wp:posOffset>2215515</wp:posOffset>
              </wp:positionH>
              <wp:positionV relativeFrom="paragraph">
                <wp:posOffset>-527050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5501C1">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74.45pt;margin-top:-41.5pt;height:144pt;width:144pt;mso-position-horizontal-relative:margin;mso-wrap-style:none;z-index:251661312;mso-width-relative:page;mso-height-relative:page;" filled="f" stroked="f" coordsize="21600,21600" o:gfxdata="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mb9P2wtUDcKmRI5LoHhut&#10;0Oybntne5GcQc6brDG/5pkLyLfPhgTm0Ah6MYQn3WAppkMT0FiWlcV//dR7jUSF4KanRWhnVmCRK&#10;5AeNygEwDIYbjP1g6KO6M+jVMYbQ8tbEBRfkYBbOqC+YoFXMARfTHJkyGgbzLnTtjQnkYrVqg47W&#10;VYeyu4C+syxs9c7ymCYK6e3qGCBmq3EUqFOl1w2d11apn5LY2n/u26inP8P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FB3iXYAAAACwEAAA8AAAAAAAAAAQAgAAAAIgAAAGRycy9kb3ducmV2Lnht&#10;bFBLAQIUABQAAAAIAIdO4kDhgNOOMgIAAGEEAAAOAAAAAAAAAAEAIAAAACcBAABkcnMvZTJvRG9j&#10;LnhtbFBLBQYAAAAABgAGAFkBAADLBQAAAAA=&#10;">
              <v:fill on="f" focussize="0,0"/>
              <v:stroke on="f" weight="0.5pt"/>
              <v:imagedata o:title=""/>
              <o:lock v:ext="edit" aspectratio="f"/>
              <v:textbox inset="0mm,0mm,0mm,0mm" style="mso-fit-shape-to-text:t;">
                <w:txbxContent>
                  <w:p w14:paraId="1D5501C1">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64EB5">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B5F4D">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73B5F4D">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6EC3">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788A58">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788A58">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3FB91">
    <w:pPr>
      <w:pStyle w:val="6"/>
      <w:pBdr>
        <w:bottom w:val="none" w:color="auto" w:sz="0" w:space="0"/>
      </w:pBdr>
    </w:pPr>
    <w:r>
      <w:drawing>
        <wp:anchor distT="0" distB="0" distL="114300" distR="114300" simplePos="0" relativeHeight="251660288" behindDoc="0" locked="0" layoutInCell="1" allowOverlap="1">
          <wp:simplePos x="0" y="0"/>
          <wp:positionH relativeFrom="column">
            <wp:posOffset>14605</wp:posOffset>
          </wp:positionH>
          <wp:positionV relativeFrom="paragraph">
            <wp:posOffset>7620</wp:posOffset>
          </wp:positionV>
          <wp:extent cx="381000" cy="403860"/>
          <wp:effectExtent l="0" t="0" r="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81000" cy="403860"/>
                  </a:xfrm>
                  <a:prstGeom prst="rect">
                    <a:avLst/>
                  </a:prstGeom>
                  <a:noFill/>
                  <a:ln>
                    <a:noFill/>
                  </a:ln>
                </pic:spPr>
              </pic:pic>
            </a:graphicData>
          </a:graphic>
        </wp:anchor>
      </w:drawing>
    </w:r>
  </w:p>
  <w:p w14:paraId="04EA9769">
    <w:pPr>
      <w:pStyle w:val="6"/>
      <w:pBdr>
        <w:bottom w:val="none" w:color="auto" w:sz="0" w:space="0"/>
      </w:pBdr>
    </w:pPr>
  </w:p>
  <w:p w14:paraId="0F34DC2D">
    <w:pPr>
      <w:pStyle w:val="6"/>
    </w:pPr>
    <w:r>
      <w:rPr>
        <w:rFonts w:hint="eastAsia"/>
      </w:rPr>
      <w:t>永兴特种材料科技股份有限公司套期保值业务管理制度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576B3">
    <w:pPr>
      <w:pStyle w:val="6"/>
      <w:pBdr>
        <w:bottom w:val="none" w:color="auto" w:sz="0" w:space="0"/>
      </w:pBdr>
    </w:pPr>
    <w:r>
      <w:drawing>
        <wp:anchor distT="0" distB="0" distL="114300" distR="114300" simplePos="0" relativeHeight="251659264" behindDoc="0" locked="0" layoutInCell="1" allowOverlap="1">
          <wp:simplePos x="0" y="0"/>
          <wp:positionH relativeFrom="column">
            <wp:posOffset>14605</wp:posOffset>
          </wp:positionH>
          <wp:positionV relativeFrom="paragraph">
            <wp:posOffset>7620</wp:posOffset>
          </wp:positionV>
          <wp:extent cx="381000" cy="403860"/>
          <wp:effectExtent l="0" t="0" r="0" b="25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381000" cy="403860"/>
                  </a:xfrm>
                  <a:prstGeom prst="rect">
                    <a:avLst/>
                  </a:prstGeom>
                  <a:noFill/>
                  <a:ln>
                    <a:noFill/>
                  </a:ln>
                </pic:spPr>
              </pic:pic>
            </a:graphicData>
          </a:graphic>
        </wp:anchor>
      </w:drawing>
    </w:r>
  </w:p>
  <w:p w14:paraId="1C133961">
    <w:pPr>
      <w:pStyle w:val="6"/>
      <w:pBdr>
        <w:bottom w:val="none" w:color="auto" w:sz="0" w:space="0"/>
      </w:pBdr>
    </w:pPr>
  </w:p>
  <w:p w14:paraId="170585B3">
    <w:pPr>
      <w:pStyle w:val="6"/>
      <w:pBdr>
        <w:bottom w:val="single" w:color="auto" w:sz="4" w:space="0"/>
      </w:pBdr>
    </w:pPr>
    <w:r>
      <w:rPr>
        <w:rFonts w:hint="eastAsia"/>
      </w:rPr>
      <w:t>永兴特种材料科技股份有限公司套期保值业务管理制度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1A34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5MGY0N2RkMmFlNDMzZDk2OWQ4NzBkNDJjZTc3NjcifQ=="/>
  </w:docVars>
  <w:rsids>
    <w:rsidRoot w:val="00BD0BC8"/>
    <w:rsid w:val="00000FBB"/>
    <w:rsid w:val="00065E96"/>
    <w:rsid w:val="000D6051"/>
    <w:rsid w:val="00202B30"/>
    <w:rsid w:val="00266EA4"/>
    <w:rsid w:val="003272A5"/>
    <w:rsid w:val="004A6E57"/>
    <w:rsid w:val="006B7728"/>
    <w:rsid w:val="006D0A99"/>
    <w:rsid w:val="007159BB"/>
    <w:rsid w:val="00933F3F"/>
    <w:rsid w:val="009A4975"/>
    <w:rsid w:val="009F0BE0"/>
    <w:rsid w:val="00B05199"/>
    <w:rsid w:val="00BA6D97"/>
    <w:rsid w:val="00BD0BC8"/>
    <w:rsid w:val="00BD3A6A"/>
    <w:rsid w:val="00C6669F"/>
    <w:rsid w:val="00CA4910"/>
    <w:rsid w:val="00DE58ED"/>
    <w:rsid w:val="00FE193D"/>
    <w:rsid w:val="04F0544A"/>
    <w:rsid w:val="06A055DB"/>
    <w:rsid w:val="06E04A66"/>
    <w:rsid w:val="08797683"/>
    <w:rsid w:val="0CF4009D"/>
    <w:rsid w:val="0DA51DE2"/>
    <w:rsid w:val="13073419"/>
    <w:rsid w:val="16DA02A8"/>
    <w:rsid w:val="1C4921B3"/>
    <w:rsid w:val="2D48301D"/>
    <w:rsid w:val="2E7C57F9"/>
    <w:rsid w:val="2F3A7069"/>
    <w:rsid w:val="30002E96"/>
    <w:rsid w:val="338D331C"/>
    <w:rsid w:val="3EAB1BBE"/>
    <w:rsid w:val="3FB056E2"/>
    <w:rsid w:val="432A3FA6"/>
    <w:rsid w:val="48465CFC"/>
    <w:rsid w:val="492871B7"/>
    <w:rsid w:val="50400ECF"/>
    <w:rsid w:val="53E4480C"/>
    <w:rsid w:val="54B95421"/>
    <w:rsid w:val="5897590E"/>
    <w:rsid w:val="5C0F748A"/>
    <w:rsid w:val="5C265887"/>
    <w:rsid w:val="5E600F48"/>
    <w:rsid w:val="612F23AC"/>
    <w:rsid w:val="62A01551"/>
    <w:rsid w:val="6A6432E1"/>
    <w:rsid w:val="6B946996"/>
    <w:rsid w:val="71035A9A"/>
    <w:rsid w:val="737C169B"/>
    <w:rsid w:val="74C55503"/>
    <w:rsid w:val="76EB2085"/>
    <w:rsid w:val="79E31DAE"/>
    <w:rsid w:val="7F617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1"/>
        <w:left w:val="none" w:color="auto" w:sz="0" w:space="4"/>
        <w:bottom w:val="none" w:color="auto" w:sz="0" w:space="1"/>
        <w:right w:val="none" w:color="auto" w:sz="0" w:space="4"/>
      </w:pBdr>
      <w:spacing w:line="360" w:lineRule="auto"/>
      <w:jc w:val="both"/>
    </w:pPr>
    <w:rPr>
      <w:rFonts w:asciiTheme="minorHAnsi" w:hAnsiTheme="minorHAnsi" w:eastAsiaTheme="minorEastAsia" w:cstheme="minorBidi"/>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Balloon Text"/>
    <w:basedOn w:val="1"/>
    <w:link w:val="11"/>
    <w:qFormat/>
    <w:uiPriority w:val="0"/>
    <w:pPr>
      <w:spacing w:line="240" w:lineRule="auto"/>
    </w:pPr>
    <w:rPr>
      <w:sz w:val="18"/>
      <w:szCs w:val="18"/>
    </w:rPr>
  </w:style>
  <w:style w:type="paragraph" w:styleId="5">
    <w:name w:val="footer"/>
    <w:basedOn w:val="1"/>
    <w:link w:val="10"/>
    <w:qFormat/>
    <w:uiPriority w:val="0"/>
    <w:pPr>
      <w:tabs>
        <w:tab w:val="center" w:pos="4153"/>
        <w:tab w:val="right" w:pos="8306"/>
      </w:tabs>
      <w:snapToGrid w:val="0"/>
      <w:spacing w:line="240" w:lineRule="auto"/>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spacing w:line="240" w:lineRule="auto"/>
      <w:jc w:val="center"/>
    </w:pPr>
    <w:rPr>
      <w:sz w:val="18"/>
      <w:szCs w:val="18"/>
    </w:rPr>
  </w:style>
  <w:style w:type="character" w:customStyle="1" w:styleId="9">
    <w:name w:val="页眉 字符"/>
    <w:basedOn w:val="8"/>
    <w:link w:val="6"/>
    <w:qFormat/>
    <w:uiPriority w:val="0"/>
    <w:rPr>
      <w:rFonts w:asciiTheme="minorHAnsi" w:hAnsiTheme="minorHAnsi" w:eastAsiaTheme="minorEastAsia" w:cstheme="minorBidi"/>
      <w:sz w:val="18"/>
      <w:szCs w:val="18"/>
    </w:rPr>
  </w:style>
  <w:style w:type="character" w:customStyle="1" w:styleId="10">
    <w:name w:val="页脚 字符"/>
    <w:basedOn w:val="8"/>
    <w:link w:val="5"/>
    <w:qFormat/>
    <w:uiPriority w:val="0"/>
    <w:rPr>
      <w:rFonts w:asciiTheme="minorHAnsi" w:hAnsiTheme="minorHAnsi" w:eastAsiaTheme="minorEastAsia" w:cstheme="minorBidi"/>
      <w:sz w:val="18"/>
      <w:szCs w:val="18"/>
    </w:rPr>
  </w:style>
  <w:style w:type="character" w:customStyle="1" w:styleId="11">
    <w:name w:val="批注框文本 字符"/>
    <w:basedOn w:val="8"/>
    <w:link w:val="4"/>
    <w:qFormat/>
    <w:uiPriority w:val="0"/>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4547</Words>
  <Characters>4553</Characters>
  <Lines>33</Lines>
  <Paragraphs>9</Paragraphs>
  <TotalTime>18</TotalTime>
  <ScaleCrop>false</ScaleCrop>
  <LinksUpToDate>false</LinksUpToDate>
  <CharactersWithSpaces>4604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2023-05-19T08:50:00Z</dcterms:created>
  <dc:creator>INTSIG</dc:creator>
  <dc:description>Intsig Word Converter</dc:description>
  <cp:lastModifiedBy>lln</cp:lastModifiedBy>
  <dcterms:modified xsi:type="dcterms:W3CDTF">2025-08-21T08:50:55Z</dcterms:modified>
  <dc:title>wordbuilder</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237D50154DDF4D29A9CA0AC3AC1B18F2_13</vt:lpwstr>
  </property>
  <property fmtid="{D5CDD505-2E9C-101B-9397-08002B2CF9AE}" pid="4" name="KSOTemplateDocerSaveRecord">
    <vt:lpwstr>eyJoZGlkIjoiOTY5MGY0N2RkMmFlNDMzZDk2OWQ4NzBkNDJjZTc3NjciLCJ1c2VySWQiOiI3Mjk5Njk2NTYifQ==</vt:lpwstr>
  </property>
</Properties>
</file>